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2020至2024年县域收入增长：发布复核意见</w:t>
      </w:r>
    </w:p>
    <w:p>
      <w:pPr>
        <w:pStyle w:val="Heading1"/>
      </w:pPr>
      <w:r>
        <w:t>建议决定</w:t>
      </w:r>
    </w:p>
    <w:p>
      <w:r>
        <w:t>建议有条件发布3082个同码且端点可计算地区的名义增长结果；暂缓未直接对应地区和缺少历史端点地区的单县比较。不能发布未经限定的完整全国县域榜，也不能宣称所有历史地域边界已完成核准。</w:t>
      </w:r>
    </w:p>
    <w:p>
      <w:r>
        <w:t>两套人口口径的前20名成员和顺序一致。可报告这一稳定性事实，但BEA官方脚注明确其人口来自Census年中估计，因此这不是两个相互独立人口来源的验证。</w:t>
      </w:r>
    </w:p>
    <w:p>
      <w:pPr>
        <w:pStyle w:val="Heading1"/>
      </w:pPr>
      <w:r>
        <w:t>覆盖与实际排除</w:t>
      </w:r>
    </w:p>
    <w:p>
      <w:r>
        <w:t>Census SUMLEV=050目标集合为3144个；与两张BEA表直接同码3091个；其中九个CT规划区缺本包2020年BEA收入/人口，剩余3082个能完成本次数值比较。53个未直接对应实体中，HI有2个、VA有51个，原件去向和记录定位见底稿。</w:t>
      </w:r>
    </w:p>
    <w:p>
      <w:r>
        <w:t>官方脚注说明Kalawao并入Maui，Virginia部分独立市与邻县合并统计，且不提供组合区组成辖区的独立估计；不能把组合收入直接分给单县。CT2024起采用九规划区，不可用旧八县的名称或数值猜填2020端点。AK的Chugach/Copper River等2020起变化也应按脚注理解。</w:t>
      </w:r>
    </w:p>
    <w:p>
      <w:pPr>
        <w:pStyle w:val="Heading1"/>
      </w:pPr>
      <w:r>
        <w:t>人口口径稳定性</w:t>
      </w:r>
    </w:p>
    <w:p>
      <w:r>
        <w:t>在3082个可计算地区中，两端BEA与Census人口均相等的有3082个。本结论只覆盖实际核验范围，未扩大为全部3144个目标实体。两榜前20交集20、并集20、最大名次差0；不制造不存在的排序变化。</w:t>
      </w:r>
    </w:p>
    <w:p>
      <w:r>
        <w:t>两源相同不解决地理覆盖不足，也不证明同码地区2020至2024辖区均未变化。发布名称应为“随附快照中同码且两端可计算地区的人均名义收入增长”，明确这是操作性样本。</w:t>
      </w:r>
    </w:p>
    <w:p>
      <w:pPr>
        <w:pStyle w:val="Heading1"/>
      </w:pPr>
      <w:r>
        <w:t>入榜地区的增长解释</w:t>
      </w:r>
    </w:p>
    <w:p>
      <w:r>
        <w:t>48301 Loving, TX：收入6,622→10,590千美元，人口67→48人，人均名义增长123.2237%。净劳动、财产和转移收入对总收入增幅贡献分别为+46.1039、+13.2588、+0.5587个百分点。收入与人口对数项分别为+46.9513和+33.3492，相加为人均对数变化+80.3004；对数点不是直接相加的普通增长百分点。来源定位见工作簿该FIPS的年度数值与分解表。</w:t>
      </w:r>
    </w:p>
    <w:p>
      <w:r>
        <w:t>48033 Borden, TX：收入43,120→75,790千美元，人口642→557人，人均名义增长102.5877%。净劳动、财产和转移收入对总收入增幅贡献分别为+56.9156、+19.5640、-0.7143个百分点。收入与人口对数项分别为+56.3979和+14.2023，相加为人均对数变化+70.6002；对数点不是直接相加的普通增长百分点。来源定位见工作簿该FIPS的年度数值与分解表。</w:t>
      </w:r>
    </w:p>
    <w:p>
      <w:r>
        <w:t>40147 Washington, OK：收入3,347,211→6,852,041千美元，人口52,606→54,060人，人均名义增长99.2031%。净劳动、财产和转移收入对总收入增幅贡献分别为+95.7334、+4.8851、+4.0904个百分点。收入与人口对数项分别为+71.6419和-2.7264，相加为人均对数变化+68.9155；对数点不是直接相加的普通增长百分点。来源定位见工作簿该FIPS的年度数值与分解表。</w:t>
      </w:r>
    </w:p>
    <w:p>
      <w:pPr>
        <w:pStyle w:val="Heading1"/>
      </w:pPr>
      <w:r>
        <w:t>方法、单位和零案例</w:t>
      </w:r>
    </w:p>
    <w:p>
      <w:r>
        <w:t>收入及收入来源为千美元，绝对人均美元需要乘1000；普通增长率中该因子抵消。收入来源以各分项增量除2020总收入得到百分点贡献；人口影响采用对数恒等式，二者解释对象和单位不同。分解是算术解释，不是政策、迁徙或行为的因果识别。</w:t>
      </w:r>
    </w:p>
    <w:p>
      <w:r>
        <w:t>本包合格地区所用两端收入分项未发现零或负值，因此没有“已保留若干负分项地区”的事实。若出现合法零或负分项，不能仅据其非正剔除总收入和人口仍有效的地区；缺值则不能填零。</w:t>
      </w:r>
    </w:p>
    <w:p>
      <w:pPr>
        <w:pStyle w:val="Heading1"/>
      </w:pPr>
      <w:r>
        <w:t>发布清单与补证</w:t>
      </w:r>
    </w:p>
    <w:p>
      <w:r>
        <w:t>可发布：3082个同码且端点可计算地区的名义收入增长及两套榜单稳定性。范围、人口来源、快照版本必须随结果披露；不等于边界已全部核准。</w:t>
      </w:r>
    </w:p>
    <w:p>
      <w:r>
        <w:t>需收窄：全国县域增长领先、购买力改善或居民福利等说法。样本覆盖不完整；无价格指数、家庭分布或因果识别资料。</w:t>
      </w:r>
    </w:p>
    <w:p>
      <w:r>
        <w:t>应暂缓：53个未直接对应实体的单县比较。HI/VA组合区缺单独收入；取得同域收入和人口或官方拆分资料后重算。</w:t>
      </w:r>
    </w:p>
    <w:p>
      <w:r>
        <w:t>应暂缓：九个CT规划区的2020至2024增长。本包缺2020年同域BEA收入/人口；先取得可核验同域历史数据。</w:t>
      </w:r>
    </w:p>
    <w:p>
      <w:r>
        <w:t>待核实：历史地域边界已经全部统一的声明。需官方历史地域交叉资料；仅同码、同名或2020代码成员关系不构成证明。</w:t>
      </w:r>
    </w:p>
    <w:p>
      <w:r>
        <w:t>53个未直接对应对象与九个缺端点对象均须保持逐项记录。编辑可以发布限定样本的事实，涉及被排除实体的全范围领先结论须等待同域数据后重算；不得认为这些地区没有增长。</w:t>
      </w:r>
    </w:p>
    <w:p>
      <w:pPr>
        <w:pStyle w:val="Heading1"/>
      </w:pPr>
      <w:r>
        <w:t>材料和研究边界</w:t>
      </w:r>
    </w:p>
    <w:p>
      <w:r>
        <w:t>六份输入均为官方原件；两份脚注与原收入CSV来自同版官方ZIP，CSV字节核验一致。工作簿保留完整脚注与原CSV尾注的区别，尾部“See the included footnote file”不冒充完整脚注。</w:t>
      </w:r>
    </w:p>
    <w:p>
      <w:r>
        <w:t>本包没有价格指数、家庭收入分布、完整历史边界交叉表或新访谈资料。没有开展居民访谈或家庭调查，没有据此认定购买力、收入分布或全体福利改善。原始文件未修改，所提补证尚未取得。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