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90天优先尽调简报：逐家待证问题与行动条件</w:t>
      </w:r>
    </w:p>
    <w:p>
      <w:pPr>
        <w:pStyle w:val="Heading1"/>
      </w:pPr>
      <w:r>
        <w:t>建议范围及使用方式</w:t>
      </w:r>
    </w:p>
    <w:p>
      <w:r>
        <w:t>共11家，顺序、批次与模型一致。前三批的排列用于管理研究资料请求，不是监管评级。组合影响、双信号、持续性与解释成本共同决定顺序；允许新增证据改变安排。以下事实均来自2024Q2/2025Q2快照，资料请求、责任岗位和90天步骤均未实际执行。</w:t>
      </w:r>
    </w:p>
    <w:p>
      <w:pPr>
        <w:pStyle w:val="Heading1"/>
      </w:pPr>
      <w:r>
        <w:t>1. BANGOR SAVINGS BANK（CERT 18408）｜第1批：信用迁徙及组合影响</w:t>
      </w:r>
    </w:p>
    <w:p>
      <w:r>
        <w:t>事实与入选理由：ASSET 7222033→7335916千美元; NAASSET 4032→33535千美元; NETINCA 3650→7726千美元; RBC 581832→600450千美元; RWAJT 5105717→5385733千美元; DEP 5353465→5915806千美元; LNLSGR 4887305→5070574千美元；NIMY 2.0621→2.4185%。NETINCA是年化值，不是两季独立损益。。组合影响较大，先核验影响主要结论的机构及双重风险信号。</w:t>
      </w:r>
    </w:p>
    <w:p>
      <w:r>
        <w:t>待答问题：新增非应计资产来自何种迁徙，能否解释组合贡献？</w:t>
      </w:r>
    </w:p>
    <w:p>
      <w:r>
        <w:t>首批最小资料：2024Q2至2025Q2非应计资产期初、新增、治愈、核销、出售、期末桥接及大额匿名贷款复核样本。</w:t>
      </w:r>
    </w:p>
    <w:p>
      <w:r>
        <w:t>改变行动的条件：新增迁徙仍持续或桥接无法闭合时扩大独立信用复核；证实为已处置的孤立事件时收窄到后续迁徙监测。</w:t>
      </w:r>
    </w:p>
    <w:p>
      <w:r>
        <w:t>责任及节点（建议）：研究分析岗协调；信用复核岗独立核验；第15天形成首批差额清单；第45天复核首批证据；第60天提出条件行动；第90天按证据关闭或升级。尚未收齐资料时保留未决。</w:t>
      </w:r>
    </w:p>
    <w:p>
      <w:r>
        <w:t>关闭或升级：桥接到33535千美元期末值，并由独立复核岗确认主要新增原因及剩余敞口；算术闭合不单独代表风险解除。</w:t>
      </w:r>
    </w:p>
    <w:p>
      <w:pPr>
        <w:pStyle w:val="Heading1"/>
      </w:pPr>
      <w:r>
        <w:t>2. THE CAMDEN NATIONAL BANK（CERT 4255）｜第1批：组合盈利与口径变动</w:t>
      </w:r>
    </w:p>
    <w:p>
      <w:r>
        <w:t>事实与入选理由：ASSET 5709625→6902692千美元; NAASSET 7795→18177千美元; NETINCA 53006→47078千美元; RBC 562313→620620千美元; RWAJT 4065707→4828252千美元; DEP 4547560→5545916千美元; LNLSGR 4153682→4953936千美元；NIMY 2.4533→3.3432%。NETINCA是年化值，不是两季独立损益。。组合影响较大，先核验影响主要结论的机构及双重风险信号。</w:t>
      </w:r>
    </w:p>
    <w:p>
      <w:r>
        <w:t>待答问题：组合ROA负向贡献源于盈利结构还是合并/规模及报告范围变化？</w:t>
      </w:r>
    </w:p>
    <w:p>
      <w:r>
        <w:t>首批最小资料：2022Q1和2025Q2年化损益/平均资产桥接、期间报告范围变更说明及2024Q2至2025Q2损益变化。</w:t>
      </w:r>
    </w:p>
    <w:p>
      <w:r>
        <w:t>改变行动的条件：解释集中于合并或一次性项目时先作同口径复算；同口径经常盈利仍恶化时转为盈利专项。</w:t>
      </w:r>
    </w:p>
    <w:p>
      <w:r>
        <w:t>责任及节点（建议）：研究分析岗协调；财务/资本专题复核岗核验；第15天形成首批差额清单；第45天复核首批证据；第60天提出条件行动；第90天按证据关闭或升级。尚未收齐资料时保留未决。</w:t>
      </w:r>
    </w:p>
    <w:p>
      <w:r>
        <w:t>关闭或升级：明确报告范围差异并将损益和平均资产对回快照；未取得范围证据时不写成并购已被证实。</w:t>
      </w:r>
    </w:p>
    <w:p>
      <w:pPr>
        <w:pStyle w:val="Heading1"/>
      </w:pPr>
      <w:r>
        <w:t>3. NORTHEAST BANK（CERT 19690）｜第1批：权重变化与信用损失</w:t>
      </w:r>
    </w:p>
    <w:p>
      <w:r>
        <w:t>事实与入选理由：ASSET 3132203→4279069千美元; NAASSET 28260→35011千美元; NETINCA 58008→87792千美元; RBC 403256→539964千美元; RWAJT 2720493→3674079千美元; DEP 2362286→3405883千美元; LNLSGR 2761157→3790157千美元；NIMY 5.0897→4.8866%。NETINCA是年化值，不是两季独立损益。。组合影响较大，先核验影响主要结论的机构及双重风险信号。</w:t>
      </w:r>
    </w:p>
    <w:p>
      <w:r>
        <w:t>待答问题：自身比率变化与组合权重效应为什么方向不同，净核销变化是否集中？</w:t>
      </w:r>
    </w:p>
    <w:p>
      <w:r>
        <w:t>首批最小资料：2022Q1至2025Q2平均贷款与RWA结构桥接、2025H1净核销/收回明细及新增业务结构。</w:t>
      </w:r>
    </w:p>
    <w:p>
      <w:r>
        <w:t>改变行动的条件：增长由不同业务结构解释时改用同口径监测；损失向新增业务集中时扩大对该批次复核。</w:t>
      </w:r>
    </w:p>
    <w:p>
      <w:r>
        <w:t>责任及节点（建议）：研究分析岗协调；信用复核岗独立核验；第15天形成首批差额清单；第45天复核首批证据；第60天提出条件行动；第90天按证据关闭或升级。尚未收齐资料时保留未决。</w:t>
      </w:r>
    </w:p>
    <w:p>
      <w:r>
        <w:t>关闭或升级：权重桥接及净核销年度期间可重算，业务结构解释有可核验材料；不得把权重正贡献当作机构本身ROA改善。</w:t>
      </w:r>
    </w:p>
    <w:p>
      <w:pPr>
        <w:pStyle w:val="Heading1"/>
      </w:pPr>
      <w:r>
        <w:t>4. UNION BANK（CERT 14158）｜第1批：信用与资本双信号</w:t>
      </w:r>
    </w:p>
    <w:p>
      <w:r>
        <w:t>事实与入选理由：ASSET 1397831→1479452千美元; NAASSET 1771→15189千美元; NETINCA 9822→10646千美元; RBC 121026→124743千美元; RWAJT 921495→988186千美元; DEP 1057053→1107517千美元; LNLSGR 1014144→1113914千美元；NIMY 2.8402→2.9987%。NETINCA是年化值，不是两季独立损益。。组合影响较大，先核验影响主要结论的机构及双重风险信号。</w:t>
      </w:r>
    </w:p>
    <w:p>
      <w:r>
        <w:t>待答问题：非应计金额上升与RWA增长是否涉及相同贷款群？</w:t>
      </w:r>
    </w:p>
    <w:p>
      <w:r>
        <w:t>首批最小资料：非应计迁徙与RWA类别桥接、广义房地产贷款细分及到期分布、资本构成变动。</w:t>
      </w:r>
    </w:p>
    <w:p>
      <w:r>
        <w:t>改变行动的条件：若同一风险群同时推动迁徙与RWA，应优先独立复核该群；若来源分离则分成两项监测。</w:t>
      </w:r>
    </w:p>
    <w:p>
      <w:r>
        <w:t>责任及节点（建议）：研究分析岗协调；信用复核岗独立核验；第15天形成首批差额清单；第45天复核首批证据；第60天提出条件行动；第90天按证据关闭或升级。尚未收齐资料时保留未决。</w:t>
      </w:r>
    </w:p>
    <w:p>
      <w:r>
        <w:t>关闭或升级：分别解释15189千美元非应计余额与RBC/RWA变化，厘清重叠敞口；不得把全部LNRE标成商业地产。</w:t>
      </w:r>
    </w:p>
    <w:p>
      <w:pPr>
        <w:pStyle w:val="Heading1"/>
      </w:pPr>
      <w:r>
        <w:t>5. LEDYARD NATIONAL BANK（CERT 33418）｜第2批：资本分子与扩张</w:t>
      </w:r>
    </w:p>
    <w:p>
      <w:r>
        <w:t>事实与入选理由：ASSET 907185→993609千美元; NAASSET 964→1191千美元; NETINCA 3316→6020千美元; RBC 87737→85991千美元; RWAJT 609385→692019千美元; DEP 797623→817518千美元; LNLSGR 496078→629355千美元；NIMY 2.2137→2.5850%。NETINCA是年化值，不是两季独立损益。。重要资本或盈利解释尚未闭合，作为第二批专题。</w:t>
      </w:r>
    </w:p>
    <w:p>
      <w:r>
        <w:t>待答问题：资本金额下降和RWA增长分别由何种事项形成？</w:t>
      </w:r>
    </w:p>
    <w:p>
      <w:r>
        <w:t>首批最小资料：RBC资本构成与分配变动、RWA资产类别桥接及2024Q2至2025Q2新增贷款结构。</w:t>
      </w:r>
    </w:p>
    <w:p>
      <w:r>
        <w:t>改变行动的条件：资本下降是分配或扣减时核验对应依据；风险资产持续扩张时请求前瞻资本计划后再议业务限额。</w:t>
      </w:r>
    </w:p>
    <w:p>
      <w:r>
        <w:t>责任及节点（建议）：研究分析岗协调；财务/资本专题复核岗核验；第30天形成首批差额清单；第45天复核首批证据；第60天提出条件行动；第90天按证据关闭或升级。尚未收齐资料时保留未决。</w:t>
      </w:r>
    </w:p>
    <w:p>
      <w:r>
        <w:t>关闭或升级：将RBC 87737→85991及RWA 609385→692019千美元的变化解释闭合；无证据不认定贷款增长造成资本减少。</w:t>
      </w:r>
    </w:p>
    <w:p>
      <w:pPr>
        <w:pStyle w:val="Heading1"/>
      </w:pPr>
      <w:r>
        <w:t>6. FIRST SEACOAST BANK（CERT 29744）｜第2批：亏损且息差改善</w:t>
      </w:r>
    </w:p>
    <w:p>
      <w:r>
        <w:t>事实与入选理由：ASSET 602018→605109千美元; NAASSET 141→14千美元; NETINCA 1730→-2286千美元; RBC 56900→54954千美元; RWAJT 366450→360814千美元; DEP 471240→489906千美元; LNLSGR 434882→439729千美元；NIMY 2.1079→2.3256%。NETINCA是年化值，不是两季独立损益。。重要资本或盈利解释尚未闭合，作为第二批专题。</w:t>
      </w:r>
    </w:p>
    <w:p>
      <w:r>
        <w:t>待答问题：NIMY上升时为何年化净利润转负？</w:t>
      </w:r>
    </w:p>
    <w:p>
      <w:r>
        <w:t>首批最小资料：2024H1至2025H1净息收入、拨备、非息收支、一次性项目及平均资产桥接。</w:t>
      </w:r>
    </w:p>
    <w:p>
      <w:r>
        <w:t>改变行动的条件：一次性项目解释充分时保留正常化盈利观察；经常费用或拨备持续抬升时开展对应专项。</w:t>
      </w:r>
    </w:p>
    <w:p>
      <w:r>
        <w:t>责任及节点（建议）：研究分析岗协调；财务/资本专题复核岗核验；第30天形成首批差额清单；第45天复核首批证据；第60天提出条件行动；第90天按证据关闭或升级。尚未收齐资料时保留未决。</w:t>
      </w:r>
    </w:p>
    <w:p>
      <w:r>
        <w:t>关闭或升级：损益桥接到NETINCA 1730→-2286千美元；不能用已下降的非应计金额证明信用持续恶化。</w:t>
      </w:r>
    </w:p>
    <w:p>
      <w:pPr>
        <w:pStyle w:val="Heading1"/>
      </w:pPr>
      <w:r>
        <w:t>7. THE BRATTLEBORO SAVINGS AND LOAN ASSOCIATION（CERT 28837）｜第2批：亏损与资金结构变化</w:t>
      </w:r>
    </w:p>
    <w:p>
      <w:r>
        <w:t>事实与入选理由：ASSET 285118→279103千美元; NAASSET 155→253千美元; NETINCA 2032→-932千美元; RBC 27489→30326千美元; RWAJT 164216→168576千美元; DEP 254557→248250千美元; LNLSGR 202274→208887千美元；NIMY 3.6810→4.0086%。NETINCA是年化值，不是两季独立损益。。重要资本或盈利解释尚未闭合，作为第二批专题。</w:t>
      </w:r>
    </w:p>
    <w:p>
      <w:r>
        <w:t>待答问题：息差提高、存款下降而贷款增长如何共同影响盈利和资金来源？</w:t>
      </w:r>
    </w:p>
    <w:p>
      <w:r>
        <w:t>首批最小资料：2024H1至2025H1损益桥接、存款期限/大额集中度及新增资金来源表。</w:t>
      </w:r>
    </w:p>
    <w:p>
      <w:r>
        <w:t>改变行动的条件：替代资金期限或成本不匹配时转资金专题；损失由孤立项目且资金稳定时收窄监测。</w:t>
      </w:r>
    </w:p>
    <w:p>
      <w:r>
        <w:t>责任及节点（建议）：研究分析岗协调；财务/资本专题复核岗核验；第30天形成首批差额清单；第45天复核首批证据；第60天提出条件行动；第90天按证据关闭或升级。尚未收齐资料时保留未决。</w:t>
      </w:r>
    </w:p>
    <w:p>
      <w:r>
        <w:t>关闭或升级：损益及存贷款变化均可核验、资金来源缺口已解释；不把存款下降直接定性为挤兑。</w:t>
      </w:r>
    </w:p>
    <w:p>
      <w:pPr>
        <w:pStyle w:val="Heading1"/>
      </w:pPr>
      <w:r>
        <w:t>8. SALEM CO-OPERATIVE BANK（CERT 27824）｜第2批：持续低盈利与资金结构</w:t>
      </w:r>
    </w:p>
    <w:p>
      <w:r>
        <w:t>事实与入选理由：ASSET 557168→571650千美元; NAASSET 1077→2044千美元; NETINCA -2044→-1748千美元; RBC 72934→70173千美元; RWAJT 358261→370130千美元; DEP 362991→388196千美元; LNLSGR 460555→471430千美元；NIMY 1.6244→1.9151%。NETINCA是年化值，不是两季独立损益。。重要资本或盈利解释尚未闭合，作为第二批专题。</w:t>
      </w:r>
    </w:p>
    <w:p>
      <w:r>
        <w:t>待答问题：长期低于同季ROA中位数的原因是否可持续改善？</w:t>
      </w:r>
    </w:p>
    <w:p>
      <w:r>
        <w:t>首批最小资料：四个6月同季的盈利桥接、2025H1成本结构和净贷款/存款对应的其他资金来源。</w:t>
      </w:r>
    </w:p>
    <w:p>
      <w:r>
        <w:t>改变行动的条件：若经常业务仍亏损，要求管理层拟议改善里程碑；若一次性因素可核验，保留后续同季验证。</w:t>
      </w:r>
    </w:p>
    <w:p>
      <w:r>
        <w:t>责任及节点（建议）：研究分析岗协调；财务/资本专题复核岗核验；第30天形成首批差额清单；第45天复核首批证据；第60天提出条件行动；第90天按证据关闭或升级。尚未收齐资料时保留未决。</w:t>
      </w:r>
    </w:p>
    <w:p>
      <w:r>
        <w:t>关闭或升级：解释持续性而非只解释单一季度；净贷款/存款超过100%本身不认定违规或流动性危机。</w:t>
      </w:r>
    </w:p>
    <w:p>
      <w:pPr>
        <w:pStyle w:val="Heading1"/>
      </w:pPr>
      <w:r>
        <w:t>9. WALDEN MUTUAL BANK（CERT 59289）｜第3批：小规模高增长与信用迁徙</w:t>
      </w:r>
    </w:p>
    <w:p>
      <w:r>
        <w:t>事实与入选理由：ASSET 105919→145991千美元; NAASSET 326→2835千美元; NETINCA -1038→-320千美元; RBC 0→0千美元; RWAJT 0→0千美元; DEP 86145→129078千美元; LNLSGR 51371→106204千美元；NIMY 4.0626→3.9922%。NETINCA是年化值，不是两季独立损益。。比例/增长信号值得查，但先控制单项资料范围，不仅凭变化百分比抢占全部资源。</w:t>
      </w:r>
    </w:p>
    <w:p>
      <w:r>
        <w:t>待答问题：贷款快速扩张和非应计增量是否由同一新增批次推动？</w:t>
      </w:r>
    </w:p>
    <w:p>
      <w:r>
        <w:t>首批最小资料：贷款新增批次/存量迁徙桥接及资本字段报告适用性说明。</w:t>
      </w:r>
    </w:p>
    <w:p>
      <w:r>
        <w:t>改变行动的条件：新增批次集中迁徙时扩大该批次复核；分母报告问题先更正解释口径，未证实前保留不可计算。</w:t>
      </w:r>
    </w:p>
    <w:p>
      <w:r>
        <w:t>责任及节点（建议）：研究分析岗协调；信用复核岗独立核验；第30天形成首批差额清单；第45天复核首批证据；第60天提出条件行动；第90天按证据关闭或升级。尚未收齐资料时保留未决。</w:t>
      </w:r>
    </w:p>
    <w:p>
      <w:r>
        <w:t>关闭或升级：将贷款51371→106204与非应计326→2835千美元分别桥接，核验RWA零值原因；不把0/0写成零资本。</w:t>
      </w:r>
    </w:p>
    <w:p>
      <w:pPr>
        <w:pStyle w:val="Heading1"/>
      </w:pPr>
      <w:r>
        <w:t>10. FRANKLIN SAVINGS BANK（CERT 19836）｜第3批：信用走弱但盈利改善</w:t>
      </w:r>
    </w:p>
    <w:p>
      <w:r>
        <w:t>事实与入选理由：ASSET 693631→755186千美元; NAASSET 5114→8281千美元; NETINCA 4462→6198千美元; RBC 137027→142381千美元; RWAJT 553539→617575千美元; DEP 494603→587526千美元; LNLSGR 583028→643156千美元；NIMY 3.5710→3.9646%。NETINCA是年化值，不是两季独立损益。。比例/增长信号值得查，但先控制单项资料范围，不仅凭变化百分比抢占全部资源。</w:t>
      </w:r>
    </w:p>
    <w:p>
      <w:r>
        <w:t>待答问题：非应计增加是个别事项还是广泛迁徙，是否被盈利改善掩盖？</w:t>
      </w:r>
    </w:p>
    <w:p>
      <w:r>
        <w:t>首批最小资料：主要非应计新增/治愈清单与贷款分组迁徙、核销及拨备桥接。</w:t>
      </w:r>
    </w:p>
    <w:p>
      <w:r>
        <w:t>改变行动的条件：分散迁徙或后续新增时升级贷款组合复核；孤立且有处置证据时维持定点监测。</w:t>
      </w:r>
    </w:p>
    <w:p>
      <w:r>
        <w:t>责任及节点（建议）：研究分析岗协调；信用复核岗独立核验；第30天形成首批差额清单；第45天复核首批证据；第60天提出条件行动；第90天按证据关闭或升级。尚未收齐资料时保留未决。</w:t>
      </w:r>
    </w:p>
    <w:p>
      <w:r>
        <w:t>关闭或升级：说明8281千美元期末非应计的来源及剩余敞口；盈利改善不自动关闭信用问题。</w:t>
      </w:r>
    </w:p>
    <w:p>
      <w:pPr>
        <w:pStyle w:val="Heading1"/>
      </w:pPr>
      <w:r>
        <w:t>11. NORTHFIELD SAVINGS BANK（CERT 14140）｜第3批：信用上升与资本口径未解</w:t>
      </w:r>
    </w:p>
    <w:p>
      <w:r>
        <w:t>事实与入选理由：ASSET 1498757→1560737千美元; NAASSET 2046→7436千美元; NETINCA 4380→4974千美元; RBC 0→0千美元; RWAJT 0→0千美元; DEP 1198797→1280949千美元; LNLSGR 1076486→1105150千美元；NIMY 2.3745→2.5805%。NETINCA是年化值，不是两季独立损益。。比例/增长信号值得查，但先控制单项资料范围，不仅凭变化百分比抢占全部资源。</w:t>
      </w:r>
    </w:p>
    <w:p>
      <w:r>
        <w:t>待答问题：信用增量如何形成，资本分母为零是什么报告口径？</w:t>
      </w:r>
    </w:p>
    <w:p>
      <w:r>
        <w:t>首批最小资料：非应计迁徙桥接、RWA/RBC零值的报告填报说明及可用资本资料。</w:t>
      </w:r>
    </w:p>
    <w:p>
      <w:r>
        <w:t>改变行动的条件：口径原因有证明后才决定是否能纳入资本比较；迁徙仍未解释则继续独立信用复核。</w:t>
      </w:r>
    </w:p>
    <w:p>
      <w:r>
        <w:t>责任及节点（建议）：研究分析岗协调；信用复核岗独立核验；第30天形成首批差额清单；第45天复核首批证据；第60天提出条件行动；第90天按证据关闭或升级。尚未收齐资料时保留未决。</w:t>
      </w:r>
    </w:p>
    <w:p>
      <w:r>
        <w:t>关闭或升级：解释7436千美元非应计余额并留存资本适用性证据；原因未知期间资本指标保持不可计算。</w:t>
      </w:r>
    </w:p>
    <w:p>
      <w:pPr>
        <w:pStyle w:val="Heading1"/>
      </w:pPr>
      <w:r>
        <w:t>未入选机构及组合层后续</w:t>
      </w:r>
    </w:p>
    <w:p>
      <w:r>
        <w:t>保持全部末期样本四指标监测及可计算范围记录；未入选不代表合格或低风险。新增重大金额迁徙、无法解释的资本变化或持续盈利恶化可触发进入队列，不以某一研究排序替代机构实际决定。</w:t>
      </w:r>
    </w:p>
    <w:p>
      <w:r>
        <w:t>第90天逐项保留证据链接、未决差额、变更理由和批准责任岗位建议。没有材料的事项保持未决；没有取得管理层答复，不虚构答复；没有完成整改，不写成已完成。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