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亚利桑那三县户外活动</w:t>
        <w:br/>
        <w:t>2024 AQI复盘与可执行排期政策</w:t>
      </w:r>
    </w:p>
    <w:p>
      <w:pPr>
        <w:jc w:val="center"/>
      </w:pPr>
      <w:r>
        <w:t>运营决策简报｜Maricopa、Pima、Yuma｜历史规则模拟，不是天气预测或个体医疗建议</w:t>
      </w:r>
    </w:p>
    <w:p>
      <w:pPr>
        <w:pStyle w:val="Heading1"/>
      </w:pPr>
      <w:r>
        <w:t>决策结论</w:t>
      </w:r>
    </w:p>
    <w:p>
      <w:r>
        <w:rPr>
          <w:b/>
        </w:rPr>
        <w:t>采用政策B作为已落实的基础运行方案，并按附表执行每月追加补贴。</w:t>
      </w:r>
      <w:r>
        <w:t xml:space="preserve"> 不取消B的AQI≥151室内安排、缺测备用或101–150室内选项。追加资金只把选中的、可观察AQI 101–150工作日整场升级为室内。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政策A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政策B（基础）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差异/说明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有观测超阈值室内场次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A多 67 场</w:t>
            </w:r>
          </w:p>
        </w:tc>
      </w:tr>
      <w:tr>
        <w:tc>
          <w:tcPr>
            <w:tcW w:type="dxa" w:w="2556"/>
            <w:vAlign w:val="center"/>
            <w:shd w:fill="F2F6FA"/>
          </w:tcPr>
          <w:p>
            <w:r>
              <w:rPr>
                <w:sz w:val="16"/>
              </w:rPr>
              <w:t>对应潜在人时</w:t>
            </w:r>
          </w:p>
        </w:tc>
        <w:tc>
          <w:tcPr>
            <w:tcW w:type="dxa" w:w="2556"/>
            <w:vAlign w:val="center"/>
            <w:shd w:fill="F2F6FA"/>
          </w:tcPr>
          <w:p>
            <w:r>
              <w:rPr>
                <w:sz w:val="16"/>
              </w:rPr>
              <w:t>4,620</w:t>
            </w:r>
          </w:p>
        </w:tc>
        <w:tc>
          <w:tcPr>
            <w:tcW w:type="dxa" w:w="2556"/>
            <w:vAlign w:val="center"/>
            <w:shd w:fill="F2F6FA"/>
          </w:tcPr>
          <w:p>
            <w:r>
              <w:rPr>
                <w:sz w:val="16"/>
              </w:rPr>
              <w:t>600</w:t>
            </w:r>
          </w:p>
        </w:tc>
        <w:tc>
          <w:tcPr>
            <w:tcW w:type="dxa" w:w="2556"/>
            <w:vAlign w:val="center"/>
            <w:shd w:fill="F2F6FA"/>
          </w:tcPr>
          <w:p>
            <w:r>
              <w:rPr>
                <w:sz w:val="16"/>
              </w:rPr>
              <w:t>差异 4,020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缺测备用场次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单列，不混入超阈值统计</w:t>
            </w:r>
          </w:p>
        </w:tc>
      </w:tr>
      <w:tr>
        <w:tc>
          <w:tcPr>
            <w:tcW w:type="dxa" w:w="2556"/>
            <w:vAlign w:val="center"/>
            <w:shd w:fill="F2F6FA"/>
          </w:tcPr>
          <w:p>
            <w:r>
              <w:rPr>
                <w:sz w:val="16"/>
              </w:rPr>
              <w:t>追加补贴</w:t>
            </w:r>
          </w:p>
        </w:tc>
        <w:tc>
          <w:tcPr>
            <w:tcW w:type="dxa" w:w="2556"/>
            <w:vAlign w:val="center"/>
            <w:shd w:fill="F2F6FA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2556"/>
            <w:vAlign w:val="center"/>
            <w:shd w:fill="F2F6FA"/>
          </w:tcPr>
          <w:p>
            <w:r>
              <w:rPr>
                <w:sz w:val="16"/>
              </w:rPr>
              <w:t>47 场；$6,120</w:t>
            </w:r>
          </w:p>
        </w:tc>
        <w:tc>
          <w:tcPr>
            <w:tcW w:type="dxa" w:w="2556"/>
            <w:vAlign w:val="center"/>
            <w:shd w:fill="F2F6FA"/>
          </w:tcPr>
          <w:p>
            <w:r>
              <w:rPr>
                <w:sz w:val="16"/>
              </w:rPr>
              <w:t>2,488 积分</w:t>
            </w:r>
          </w:p>
        </w:tc>
      </w:tr>
    </w:tbl>
    <w:p>
      <w:pPr>
        <w:pStyle w:val="Heading1"/>
      </w:pPr>
      <w:r>
        <w:t>1. 资源需求：A与B改变什么</w:t>
      </w:r>
    </w:p>
    <w:p>
      <w:pPr>
        <w:pStyle w:val="ListBullet"/>
      </w:pPr>
      <w:r>
        <w:t>全年三县共有 786 个拟排工作日场次、47,160 潜在人时；这是容量口径，不是真实签到。</w:t>
      </w:r>
    </w:p>
    <w:p>
      <w:pPr>
        <w:pStyle w:val="ListBullet"/>
      </w:pPr>
      <w:r>
        <w:t>A在有观测AQI≥101时转室内；B仅在≥151时转室内，101–150继续户外、降强度并提供室内选项。A因此比B多需要 67 个整场室内档期（4,020 潜在人时）。</w:t>
      </w:r>
    </w:p>
    <w:p>
      <w:pPr>
        <w:pStyle w:val="ListBullet"/>
      </w:pPr>
      <w:r>
        <w:t>差异最多的县为 Maricopa（57 场）；最高县月为 Maricopa / 2024-07（15 场）。详见工作簿 Monthly。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7365D"/>
          </w:tcPr>
          <w:p>
            <w:r>
              <w:rPr>
                <w:b/>
                <w:color w:val="FFFFFF"/>
                <w:sz w:val="16"/>
              </w:rPr>
              <w:t>县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  <w:sz w:val="16"/>
              </w:rPr>
              <w:t>A超阈值室内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  <w:sz w:val="16"/>
              </w:rPr>
              <w:t>B超阈值室内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  <w:sz w:val="16"/>
              </w:rPr>
              <w:t>A比B多室内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  <w:sz w:val="16"/>
              </w:rPr>
              <w:t>缺测备用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Maricopa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Pima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Yuma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1</w:t>
            </w:r>
          </w:p>
        </w:tc>
      </w:tr>
    </w:tbl>
    <w:p>
      <w:pPr>
        <w:pStyle w:val="Heading1"/>
      </w:pPr>
      <w:r>
        <w:t>2. 每月追加资金安排</w:t>
      </w:r>
    </w:p>
    <w:p>
      <w:r>
        <w:t>执行附件 ResourcePlan 中 Subsidy Selected=TRUE 的场次。每月上限$900、余额不结转、整场支付，且同一日期最多批准一个县。所有未选候选继续执行基础B，而不是取消活动或基础保护。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7365D"/>
          </w:tcPr>
          <w:p>
            <w:r>
              <w:rPr>
                <w:b/>
                <w:color w:val="FFFFFF"/>
                <w:sz w:val="16"/>
              </w:rPr>
              <w:t>月份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  <w:sz w:val="16"/>
              </w:rPr>
              <w:t>追加室内场次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  <w:sz w:val="16"/>
              </w:rPr>
              <w:t>支出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  <w:sz w:val="16"/>
              </w:rPr>
              <w:t>余量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  <w:sz w:val="16"/>
              </w:rPr>
              <w:t>总积分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2024-01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$80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$820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2024-02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$0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$900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2024-03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$0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$900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2024-04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$280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$620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80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2024-05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$840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$60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369</w:t>
            </w:r>
          </w:p>
        </w:tc>
      </w:tr>
      <w:tr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2024-06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$840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$60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118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2024-07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$880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$20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576</w:t>
            </w:r>
          </w:p>
        </w:tc>
      </w:tr>
      <w:tr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2024-08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$800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$100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666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2024-09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$880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$20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329</w:t>
            </w:r>
          </w:p>
        </w:tc>
      </w:tr>
      <w:tr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2024-10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$680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$220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107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2024-11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$0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$900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2024-12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$840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$60</w:t>
            </w:r>
          </w:p>
        </w:tc>
        <w:tc>
          <w:tcPr>
            <w:tcW w:type="dxa" w:w="2045"/>
            <w:vAlign w:val="center"/>
            <w:shd w:fill="F2F6FA"/>
          </w:tcPr>
          <w:p>
            <w:r>
              <w:rPr>
                <w:sz w:val="16"/>
              </w:rPr>
              <w:t>240</w:t>
            </w:r>
          </w:p>
        </w:tc>
      </w:tr>
    </w:tbl>
    <w:p>
      <w:r>
        <w:t>县级落实量：</w:t>
      </w:r>
      <w:r>
        <w:t>Maricopa 41场/$5440/2382分；</w:t>
      </w:r>
      <w:r>
        <w:t>Pima 3场/$440/80分；</w:t>
      </w:r>
      <w:r>
        <w:t>Yuma 3场/$240/26分；</w:t>
      </w:r>
    </w:p>
    <w:p>
      <w:pPr>
        <w:pStyle w:val="Heading1"/>
      </w:pPr>
      <w:r>
        <w:t>3. 为什么排期可复算且不是贪心</w:t>
      </w:r>
    </w:p>
    <w:p>
      <w:pPr>
        <w:pStyle w:val="ListBullet"/>
      </w:pPr>
      <w:r>
        <w:t>按月对“日期 × 已用整数美元”做动态规划；每个日期枚举“不选”或“选一个县”，因此直接编码了每日最多一个县、整场支付和$900上限。月末取积分最大状态；同分时取更低支出。</w:t>
      </w:r>
    </w:p>
    <w:p>
      <w:pPr>
        <w:pStyle w:val="ListBullet"/>
      </w:pPr>
      <w:r>
        <w:t>DA-D1被数据反例否定：2024-07，Greedy points 561, spend $840; exact optimum points 576, spend $880。因此不能只按AQI从高到低拨款。</w:t>
      </w:r>
    </w:p>
    <w:p>
      <w:pPr>
        <w:pStyle w:val="ListBullet"/>
      </w:pPr>
      <w:r>
        <w:t>ResourceSummary列出预算、支出、余量和最优积分；ResourcePlan列出全部候选、费用、积分、日期冲突、选择与不选择理由，可从候选表重算。</w:t>
      </w:r>
    </w:p>
    <w:p>
      <w:pPr>
        <w:pStyle w:val="Heading1"/>
      </w:pPr>
      <w:r>
        <w:t>4. 人力、场地与监测动作</w:t>
      </w:r>
    </w:p>
    <w:p>
      <w:pPr>
        <w:pStyle w:val="ListBullet"/>
      </w:pPr>
      <w:r>
        <w:t>资金：财务按ResourceSummary逐月封顶；不得跨月挪用余额，不得部分补贴。基础B资金与追加补贴分账。</w:t>
      </w:r>
    </w:p>
    <w:p>
      <w:pPr>
        <w:pStyle w:val="ListBullet"/>
      </w:pPr>
      <w:r>
        <w:t>审批：中央协调员仅批准ResourcePlan中选中场次；同日只有一个县获追加补贴。县级人员负责在选中日期把40人整场转入假设可租场地。</w:t>
      </w:r>
    </w:p>
    <w:p>
      <w:pPr>
        <w:pStyle w:val="ListBullet"/>
      </w:pPr>
      <w:r>
        <w:t>敏感人群：未获追加补贴的101–150场次仍降强度并保留已落实的室内选项；AQI≥151照B整场室内，不从追加预算扣款。</w:t>
      </w:r>
    </w:p>
    <w:p>
      <w:pPr>
        <w:pStyle w:val="ListBullet"/>
      </w:pPr>
      <w:r>
        <w:t>监测覆盖：缺测日标为“待测，室内备用”，不填0；运营当天应按既有监测流程确认，但本复盘不把最终日AQI误称为开场前已知。</w:t>
      </w:r>
    </w:p>
    <w:p>
      <w:pPr>
        <w:pStyle w:val="Heading1"/>
      </w:pPr>
      <w:r>
        <w:t>5. 数据质量、来源与解释边界</w:t>
      </w:r>
    </w:p>
    <w:p>
      <w:pPr>
        <w:pStyle w:val="ListBullet"/>
      </w:pPr>
      <w:r>
        <w:t>Maricopa：原始日表366行、366个日期、补齐后缺测0日；重复键0，非数值AQI0；站点数范围28–30。</w:t>
      </w:r>
    </w:p>
    <w:p>
      <w:pPr>
        <w:pStyle w:val="ListBullet"/>
      </w:pPr>
      <w:r>
        <w:t>Pima：原始日表366行、366个日期、补齐后缺测0日；重复键0，非数值AQI0；站点数范围13–19。</w:t>
      </w:r>
    </w:p>
    <w:p>
      <w:pPr>
        <w:pStyle w:val="ListBullet"/>
      </w:pPr>
      <w:r>
        <w:t>Yuma：原始日表365行、365个日期、补齐后缺测1日；重复键0，非数值AQI0；站点数范围1–1。</w:t>
      </w:r>
    </w:p>
    <w:p>
      <w:pPr>
        <w:pStyle w:val="ListBullet"/>
      </w:pPr>
      <w:r>
        <w:t>三县FIPS由日表State Code+County Code构成，并与Census县表核对：04013、04019、04027；县表只用于身份核对。</w:t>
      </w:r>
    </w:p>
    <w:p>
      <w:pPr>
        <w:pStyle w:val="ListBullet"/>
      </w:pPr>
      <w:r>
        <w:t>日表的六档天数、Days with AQI、Max AQI逐项与年表对账；结果见AnnualReconciliation，原件未为强行对齐而修改。</w:t>
      </w:r>
    </w:p>
    <w:p>
      <w:pPr>
        <w:pStyle w:val="ListBullet"/>
      </w:pPr>
      <w:r>
        <w:t>EPA技术文档说明最终日AQI需要完整日数据。本分析只能做回顾性规则模拟；不能推断小时暴露、哮喘因果、真实出勤，不能把2024精确天数外推到下一年。</w:t>
      </w:r>
    </w:p>
    <w:p>
      <w:pPr>
        <w:pStyle w:val="Heading1"/>
      </w:pPr>
      <w:r>
        <w:t>6. DecisionAudit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计算/约束证据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运营影响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DA-D1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否定“按AQI贪心必然最优”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至少一月存在反例；见DecisionAudit逐月贪心与精确最优积分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严格执行精确排期，不手工按AQI排序替换</w:t>
            </w:r>
          </w:p>
        </w:tc>
      </w:tr>
      <w:tr>
        <w:tc>
          <w:tcPr>
            <w:tcW w:type="dxa" w:w="2556"/>
            <w:vAlign w:val="center"/>
            <w:shd w:fill="F2F6FA"/>
          </w:tcPr>
          <w:p>
            <w:r>
              <w:rPr>
                <w:sz w:val="16"/>
              </w:rPr>
              <w:t>DA-D2</w:t>
            </w:r>
          </w:p>
        </w:tc>
        <w:tc>
          <w:tcPr>
            <w:tcW w:type="dxa" w:w="2556"/>
            <w:vAlign w:val="center"/>
            <w:shd w:fill="F2F6FA"/>
          </w:tcPr>
          <w:p>
            <w:r>
              <w:rPr>
                <w:sz w:val="16"/>
              </w:rPr>
              <w:t>否定“可取消B基础保护”</w:t>
            </w:r>
          </w:p>
        </w:tc>
        <w:tc>
          <w:tcPr>
            <w:tcW w:type="dxa" w:w="2556"/>
            <w:vAlign w:val="center"/>
            <w:shd w:fill="F2F6FA"/>
          </w:tcPr>
          <w:p>
            <w:r>
              <w:rPr>
                <w:sz w:val="16"/>
              </w:rPr>
              <w:t>基础B另行落实；本模型保留10个B超阈值室内和1个缺测备用，均不计追加成本</w:t>
            </w:r>
          </w:p>
        </w:tc>
        <w:tc>
          <w:tcPr>
            <w:tcW w:type="dxa" w:w="2556"/>
            <w:vAlign w:val="center"/>
            <w:shd w:fill="F2F6FA"/>
          </w:tcPr>
          <w:p>
            <w:r>
              <w:rPr>
                <w:sz w:val="16"/>
              </w:rPr>
              <w:t>基础资金环封；追加预算仅用于101–150升级</w:t>
            </w:r>
          </w:p>
        </w:tc>
      </w:tr>
    </w:tbl>
    <w:p>
      <w:pPr>
        <w:pStyle w:val="Heading1"/>
      </w:pPr>
      <w:r>
        <w:t>附件导航</w:t>
      </w:r>
    </w:p>
    <w:p>
      <w:pPr>
        <w:pStyle w:val="ListBullet"/>
      </w:pPr>
      <w:r>
        <w:t>outdoor_activity_model.xlsx：DataAudit、DailyEvidence、AnnualReconciliation、Monthly、CountySummary、ResourcePlan、ResourceSummary、DecisionAudit、Sources。</w:t>
      </w:r>
    </w:p>
    <w:p>
      <w:pPr>
        <w:pStyle w:val="ListBullet"/>
      </w:pPr>
      <w:r>
        <w:t>review_calendar.csv：全部三县2024工作日逐日政策、原始行号、站点数及追加补贴字段。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 xml:space="preserve">Internal planning exercise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77777"/>
        <w:sz w:val="16"/>
      </w:rPr>
      <w:t>ARIZONA AQI ACTIVITY POLICY | 2024 RETROSPECTIVE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472C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