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季度信用复核与八个核查名额分配</w:t>
      </w:r>
    </w:p>
    <w:p>
      <w:r>
        <w:rPr>
          <w:b/>
          <w:color w:val="0F6B78"/>
          <w:sz w:val="26"/>
        </w:rPr>
        <w:t>委员会决策备忘录</w:t>
      </w:r>
    </w:p>
    <w:p>
      <w:r>
        <w:t>数据期：2022-03-31至2025-06-30｜重点端点：2024-06-30与2025-06-30｜金额：千美元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17365D"/>
                <w:sz w:val="20"/>
              </w:rPr>
              <w:t>决策结论：现有13人日可先批准八家基础台账核查，但无法同时满足三州各1家完整复核。保持全部要求的最低预算为14人日，短缺1人日。追加获批后，完整复核安排为VT Union Bank（CERT 14158）、NH Primary Bank（59086）、ME Northeast Bank（19690）。</w:t>
            </w:r>
          </w:p>
        </w:tc>
      </w:tr>
    </w:tbl>
    <w:p/>
    <w:p>
      <w:pPr>
        <w:pStyle w:val="Heading1"/>
      </w:pPr>
      <w:r>
        <w:t>一、执行摘要：事实、待查原因、建议行动</w:t>
      </w:r>
    </w:p>
    <w:p>
      <w:pPr>
        <w:pStyle w:val="ListBullet"/>
        <w:spacing w:after="40"/>
      </w:pPr>
      <w:r>
        <w:rPr>
          <w:b/>
        </w:rPr>
        <w:t>已算出的事实：</w:t>
      </w:r>
      <w:r>
        <w:t>区域观察口径代理率由0.2986%升至0.3682%，变化+0.0696个百分点。该指标是100×(P9ASSET+NAASSET)/ASSET，不是监管评级，也不是贷款不良率。</w:t>
      </w:r>
    </w:p>
    <w:p>
      <w:pPr>
        <w:pStyle w:val="ListBullet"/>
        <w:spacing w:after="40"/>
      </w:pPr>
      <w:r>
        <w:rPr>
          <w:b/>
        </w:rPr>
        <w:t>已算出的事实：</w:t>
      </w:r>
      <w:r>
        <w:t>共同52家、各期自身资产权重的代理率变化为+0.0739个百分点；SymmetricBridge算术分解为银行内代理率变化贡献+0.0582、资产权重变化贡献+0.0156个百分点。观察变化减共同集合变化的范围差异为-0.0042个百分点。</w:t>
      </w:r>
    </w:p>
    <w:p>
      <w:pPr>
        <w:pStyle w:val="ListBullet"/>
        <w:spacing w:after="40"/>
      </w:pPr>
      <w:r>
        <w:rPr>
          <w:b/>
        </w:rPr>
        <w:t>待查原因：</w:t>
      </w:r>
      <w:r>
        <w:t>代理分子变化可能涉及逾期迁徙、非应计认定、回款/核销、修改或展期、组合增长、抵押品价值及分类差异；桌面数据不支持把算术贡献称为因果效果。</w:t>
      </w:r>
    </w:p>
    <w:p>
      <w:pPr>
        <w:pStyle w:val="ListBullet"/>
        <w:spacing w:after="40"/>
      </w:pPr>
      <w:r>
        <w:rPr>
          <w:b/>
        </w:rPr>
        <w:t>建议行动：</w:t>
      </w:r>
      <w:r>
        <w:t>立即启动八家基础核查；追加1人日后执行三州各一家完整复核。逐笔清单、内部分类、还款来源、抵押物与董事会监控材料是首批补证。</w:t>
      </w:r>
    </w:p>
    <w:p>
      <w:pPr>
        <w:pStyle w:val="Heading1"/>
      </w:pPr>
      <w:r>
        <w:t>二、端点结果与“是否同一批银行恶化”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720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792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2024家数</w:t>
            </w:r>
          </w:p>
        </w:tc>
        <w:tc>
          <w:tcPr>
            <w:tcW w:type="dxa" w:w="1152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2024代理率%</w:t>
            </w:r>
          </w:p>
        </w:tc>
        <w:tc>
          <w:tcPr>
            <w:tcW w:type="dxa" w:w="792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2025家数</w:t>
            </w:r>
          </w:p>
        </w:tc>
        <w:tc>
          <w:tcPr>
            <w:tcW w:type="dxa" w:w="1152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2025代理率%</w:t>
            </w:r>
          </w:p>
        </w:tc>
        <w:tc>
          <w:tcPr>
            <w:tcW w:type="dxa" w:w="1080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观察变化pp</w:t>
            </w:r>
          </w:p>
        </w:tc>
        <w:tc>
          <w:tcPr>
            <w:tcW w:type="dxa" w:w="1296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共同集合变化pp</w:t>
            </w:r>
          </w:p>
        </w:tc>
        <w:tc>
          <w:tcPr>
            <w:tcW w:type="dxa" w:w="1152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范围差异pp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VT</w:t>
            </w:r>
          </w:p>
        </w:tc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12</w:t>
            </w:r>
          </w:p>
        </w:tc>
        <w:tc>
          <w:tcPr>
            <w:tcW w:type="dxa" w:w="115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0.3386</w:t>
            </w:r>
          </w:p>
        </w:tc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12</w:t>
            </w:r>
          </w:p>
        </w:tc>
        <w:tc>
          <w:tcPr>
            <w:tcW w:type="dxa" w:w="115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0.4947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+0.1561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+0.1561</w:t>
            </w:r>
          </w:p>
        </w:tc>
        <w:tc>
          <w:tcPr>
            <w:tcW w:type="dxa" w:w="115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+0.0000</w:t>
            </w:r>
          </w:p>
        </w:tc>
      </w:tr>
      <w:tr>
        <w:tc>
          <w:tcPr>
            <w:tcW w:type="dxa" w:w="72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NH</w:t>
            </w:r>
          </w:p>
        </w:tc>
        <w:tc>
          <w:tcPr>
            <w:tcW w:type="dxa" w:w="7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19</w:t>
            </w:r>
          </w:p>
        </w:tc>
        <w:tc>
          <w:tcPr>
            <w:tcW w:type="dxa" w:w="115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0.3651</w:t>
            </w:r>
          </w:p>
        </w:tc>
        <w:tc>
          <w:tcPr>
            <w:tcW w:type="dxa" w:w="7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18</w:t>
            </w:r>
          </w:p>
        </w:tc>
        <w:tc>
          <w:tcPr>
            <w:tcW w:type="dxa" w:w="115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0.3060</w:t>
            </w:r>
          </w:p>
        </w:tc>
        <w:tc>
          <w:tcPr>
            <w:tcW w:type="dxa" w:w="108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-0.0591</w:t>
            </w:r>
          </w:p>
        </w:tc>
        <w:tc>
          <w:tcPr>
            <w:tcW w:type="dxa" w:w="1296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-0.0659</w:t>
            </w:r>
          </w:p>
        </w:tc>
        <w:tc>
          <w:tcPr>
            <w:tcW w:type="dxa" w:w="115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+0.0068</w:t>
            </w:r>
          </w:p>
        </w:tc>
      </w:tr>
      <w:tr>
        <w:tc>
          <w:tcPr>
            <w:tcW w:type="dxa" w:w="72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ME</w:t>
            </w:r>
          </w:p>
        </w:tc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23</w:t>
            </w:r>
          </w:p>
        </w:tc>
        <w:tc>
          <w:tcPr>
            <w:tcW w:type="dxa" w:w="115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0.2642</w:t>
            </w:r>
          </w:p>
        </w:tc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22</w:t>
            </w:r>
          </w:p>
        </w:tc>
        <w:tc>
          <w:tcPr>
            <w:tcW w:type="dxa" w:w="115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0.3674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+0.1032</w:t>
            </w:r>
          </w:p>
        </w:tc>
        <w:tc>
          <w:tcPr>
            <w:tcW w:type="dxa" w:w="1296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+0.1118</w:t>
            </w:r>
          </w:p>
        </w:tc>
        <w:tc>
          <w:tcPr>
            <w:tcW w:type="dxa" w:w="115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-0.0087</w:t>
            </w:r>
          </w:p>
        </w:tc>
      </w:tr>
      <w:tr>
        <w:tc>
          <w:tcPr>
            <w:tcW w:type="dxa" w:w="72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Region</w:t>
            </w:r>
          </w:p>
        </w:tc>
        <w:tc>
          <w:tcPr>
            <w:tcW w:type="dxa" w:w="7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54</w:t>
            </w:r>
          </w:p>
        </w:tc>
        <w:tc>
          <w:tcPr>
            <w:tcW w:type="dxa" w:w="115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0.2986</w:t>
            </w:r>
          </w:p>
        </w:tc>
        <w:tc>
          <w:tcPr>
            <w:tcW w:type="dxa" w:w="7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52</w:t>
            </w:r>
          </w:p>
        </w:tc>
        <w:tc>
          <w:tcPr>
            <w:tcW w:type="dxa" w:w="115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0.3682</w:t>
            </w:r>
          </w:p>
        </w:tc>
        <w:tc>
          <w:tcPr>
            <w:tcW w:type="dxa" w:w="108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+0.0696</w:t>
            </w:r>
          </w:p>
        </w:tc>
        <w:tc>
          <w:tcPr>
            <w:tcW w:type="dxa" w:w="1296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+0.0739</w:t>
            </w:r>
          </w:p>
        </w:tc>
        <w:tc>
          <w:tcPr>
            <w:tcW w:type="dxa" w:w="115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-0.0042</w:t>
            </w:r>
          </w:p>
        </w:tc>
      </w:tr>
    </w:tbl>
    <w:p>
      <w:pPr>
        <w:spacing w:after="0"/>
      </w:pPr>
    </w:p>
    <w:p>
      <w:r>
        <w:t>观察口径：每期实际存在的银行，按分子之和/资产之和。共同集合口径：两端均有效的52家，州别固定为2025州别，且两期分别使用各自资产权重。范围差异仅是两种变化之差，不作无依据的因果拆分。</w:t>
      </w:r>
    </w:p>
    <w:p>
      <w:pPr>
        <w:pStyle w:val="Heading2"/>
      </w:pPr>
      <w:r>
        <w:t>成员变化与规模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656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792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CERT</w:t>
            </w:r>
          </w:p>
        </w:tc>
        <w:tc>
          <w:tcPr>
            <w:tcW w:type="dxa" w:w="504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州</w:t>
            </w:r>
          </w:p>
        </w:tc>
        <w:tc>
          <w:tcPr>
            <w:tcW w:type="dxa" w:w="3024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银行</w:t>
            </w:r>
          </w:p>
        </w:tc>
        <w:tc>
          <w:tcPr>
            <w:tcW w:type="dxa" w:w="1224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端点资产</w:t>
            </w:r>
          </w:p>
        </w:tc>
        <w:tc>
          <w:tcPr>
            <w:tcW w:type="dxa" w:w="1080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代理分子</w:t>
            </w:r>
          </w:p>
        </w:tc>
        <w:tc>
          <w:tcPr>
            <w:tcW w:type="dxa" w:w="936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代理率%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Exit after 2024 endpoint</w:t>
            </w:r>
          </w:p>
        </w:tc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14240</w:t>
            </w:r>
          </w:p>
        </w:tc>
        <w:tc>
          <w:tcPr>
            <w:tcW w:type="dxa" w:w="504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NH</w:t>
            </w:r>
          </w:p>
        </w:tc>
        <w:tc>
          <w:tcPr>
            <w:tcW w:type="dxa" w:w="3024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NORTHWAY BANK</w:t>
            </w:r>
          </w:p>
        </w:tc>
        <w:tc>
          <w:tcPr>
            <w:tcW w:type="dxa" w:w="1224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1,270,696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3,555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0.2798</w:t>
            </w:r>
          </w:p>
        </w:tc>
      </w:tr>
      <w:tr>
        <w:tc>
          <w:tcPr>
            <w:tcW w:type="dxa" w:w="1656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Exit after 2024 endpoint</w:t>
            </w:r>
          </w:p>
        </w:tc>
        <w:tc>
          <w:tcPr>
            <w:tcW w:type="dxa" w:w="7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17748</w:t>
            </w:r>
          </w:p>
        </w:tc>
        <w:tc>
          <w:tcPr>
            <w:tcW w:type="dxa" w:w="504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ME</w:t>
            </w:r>
          </w:p>
        </w:tc>
        <w:tc>
          <w:tcPr>
            <w:tcW w:type="dxa" w:w="3024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GORHAM SAVINGS BANK</w:t>
            </w:r>
          </w:p>
        </w:tc>
        <w:tc>
          <w:tcPr>
            <w:tcW w:type="dxa" w:w="1224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1,653,584</w:t>
            </w:r>
          </w:p>
        </w:tc>
        <w:tc>
          <w:tcPr>
            <w:tcW w:type="dxa" w:w="108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7,932</w:t>
            </w:r>
          </w:p>
        </w:tc>
        <w:tc>
          <w:tcPr>
            <w:tcW w:type="dxa" w:w="936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0.4797</w:t>
            </w:r>
          </w:p>
        </w:tc>
      </w:tr>
    </w:tbl>
    <w:p>
      <w:pPr>
        <w:spacing w:after="0"/>
      </w:pPr>
    </w:p>
    <w:p>
      <w:r>
        <w:t>2024端点后退出两家：Northway Bank（NH）和Gorham Savings Bank（ME）；2025端点无新增银行。机构快照ACTIVE较晚，不用于判断其历史季度经营状态。</w:t>
      </w:r>
    </w:p>
    <w:p>
      <w:pPr>
        <w:pStyle w:val="Heading1"/>
      </w:pPr>
      <w:r>
        <w:t>三、两种桥接必须分开解读</w:t>
      </w:r>
    </w:p>
    <w:p>
      <w:pPr>
        <w:pStyle w:val="Heading2"/>
      </w:pPr>
      <w:r>
        <w:t>A. 原要求：固定银行、固定2024资产权重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1440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2024代理率%</w:t>
            </w:r>
          </w:p>
        </w:tc>
        <w:tc>
          <w:tcPr>
            <w:tcW w:type="dxa" w:w="2448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2025（仍用2024权重）%</w:t>
            </w:r>
          </w:p>
        </w:tc>
        <w:tc>
          <w:tcPr>
            <w:tcW w:type="dxa" w:w="1440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变化pp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VT</w:t>
            </w:r>
          </w:p>
        </w:tc>
        <w:tc>
          <w:tcPr>
            <w:tcW w:type="dxa" w:w="144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0.3386</w:t>
            </w:r>
          </w:p>
        </w:tc>
        <w:tc>
          <w:tcPr>
            <w:tcW w:type="dxa" w:w="2448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0.4954</w:t>
            </w:r>
          </w:p>
        </w:tc>
        <w:tc>
          <w:tcPr>
            <w:tcW w:type="dxa" w:w="144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+0.1568</w:t>
            </w:r>
          </w:p>
        </w:tc>
      </w:tr>
      <w:tr>
        <w:tc>
          <w:tcPr>
            <w:tcW w:type="dxa" w:w="144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NH</w:t>
            </w:r>
          </w:p>
        </w:tc>
        <w:tc>
          <w:tcPr>
            <w:tcW w:type="dxa" w:w="144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0.3719</w:t>
            </w:r>
          </w:p>
        </w:tc>
        <w:tc>
          <w:tcPr>
            <w:tcW w:type="dxa" w:w="2448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0.2990</w:t>
            </w:r>
          </w:p>
        </w:tc>
        <w:tc>
          <w:tcPr>
            <w:tcW w:type="dxa" w:w="144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-0.0728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ME</w:t>
            </w:r>
          </w:p>
        </w:tc>
        <w:tc>
          <w:tcPr>
            <w:tcW w:type="dxa" w:w="144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0.2555</w:t>
            </w:r>
          </w:p>
        </w:tc>
        <w:tc>
          <w:tcPr>
            <w:tcW w:type="dxa" w:w="2448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0.3530</w:t>
            </w:r>
          </w:p>
        </w:tc>
        <w:tc>
          <w:tcPr>
            <w:tcW w:type="dxa" w:w="144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+0.0975</w:t>
            </w:r>
          </w:p>
        </w:tc>
      </w:tr>
      <w:tr>
        <w:tc>
          <w:tcPr>
            <w:tcW w:type="dxa" w:w="144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Region</w:t>
            </w:r>
          </w:p>
        </w:tc>
        <w:tc>
          <w:tcPr>
            <w:tcW w:type="dxa" w:w="144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0.2943</w:t>
            </w:r>
          </w:p>
        </w:tc>
        <w:tc>
          <w:tcPr>
            <w:tcW w:type="dxa" w:w="2448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0.3574</w:t>
            </w:r>
          </w:p>
        </w:tc>
        <w:tc>
          <w:tcPr>
            <w:tcW w:type="dxa" w:w="144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+0.0630</w:t>
            </w:r>
          </w:p>
        </w:tc>
      </w:tr>
    </w:tbl>
    <w:p>
      <w:pPr>
        <w:spacing w:after="0"/>
      </w:pPr>
    </w:p>
    <w:p>
      <w:r>
        <w:t>此口径锁定银行和2024资产权重，用于比较同一银行组合在固定权重下的率变化。观察变化与其差额只能称作“范围和权重变化影响”。</w:t>
      </w:r>
    </w:p>
    <w:p>
      <w:pPr>
        <w:pStyle w:val="Heading2"/>
      </w:pPr>
      <w:r>
        <w:t>B. 新增SymmetricBridge：共同银行、两期各自权重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864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936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2024%</w:t>
            </w:r>
          </w:p>
        </w:tc>
        <w:tc>
          <w:tcPr>
            <w:tcW w:type="dxa" w:w="936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2025%</w:t>
            </w:r>
          </w:p>
        </w:tc>
        <w:tc>
          <w:tcPr>
            <w:tcW w:type="dxa" w:w="1152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共同变化pp</w:t>
            </w:r>
          </w:p>
        </w:tc>
        <w:tc>
          <w:tcPr>
            <w:tcW w:type="dxa" w:w="1080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率贡献pp</w:t>
            </w:r>
          </w:p>
        </w:tc>
        <w:tc>
          <w:tcPr>
            <w:tcW w:type="dxa" w:w="1152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权重贡献pp</w:t>
            </w:r>
          </w:p>
        </w:tc>
        <w:tc>
          <w:tcPr>
            <w:tcW w:type="dxa" w:w="1008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核对差</w:t>
            </w:r>
          </w:p>
        </w:tc>
      </w:tr>
      <w:tr>
        <w:tc>
          <w:tcPr>
            <w:tcW w:type="dxa" w:w="864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VT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0.3386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0.4947</w:t>
            </w:r>
          </w:p>
        </w:tc>
        <w:tc>
          <w:tcPr>
            <w:tcW w:type="dxa" w:w="115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+0.1561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+0.1571</w:t>
            </w:r>
          </w:p>
        </w:tc>
        <w:tc>
          <w:tcPr>
            <w:tcW w:type="dxa" w:w="115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-0.0009</w:t>
            </w:r>
          </w:p>
        </w:tc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+0.000000</w:t>
            </w:r>
          </w:p>
        </w:tc>
      </w:tr>
      <w:tr>
        <w:tc>
          <w:tcPr>
            <w:tcW w:type="dxa" w:w="864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NH</w:t>
            </w:r>
          </w:p>
        </w:tc>
        <w:tc>
          <w:tcPr>
            <w:tcW w:type="dxa" w:w="936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0.3719</w:t>
            </w:r>
          </w:p>
        </w:tc>
        <w:tc>
          <w:tcPr>
            <w:tcW w:type="dxa" w:w="936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0.3060</w:t>
            </w:r>
          </w:p>
        </w:tc>
        <w:tc>
          <w:tcPr>
            <w:tcW w:type="dxa" w:w="115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-0.0659</w:t>
            </w:r>
          </w:p>
        </w:tc>
        <w:tc>
          <w:tcPr>
            <w:tcW w:type="dxa" w:w="108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-0.0814</w:t>
            </w:r>
          </w:p>
        </w:tc>
        <w:tc>
          <w:tcPr>
            <w:tcW w:type="dxa" w:w="115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+0.0155</w:t>
            </w:r>
          </w:p>
        </w:tc>
        <w:tc>
          <w:tcPr>
            <w:tcW w:type="dxa" w:w="1008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+0.000000</w:t>
            </w:r>
          </w:p>
        </w:tc>
      </w:tr>
      <w:tr>
        <w:tc>
          <w:tcPr>
            <w:tcW w:type="dxa" w:w="864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ME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0.2555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0.3674</w:t>
            </w:r>
          </w:p>
        </w:tc>
        <w:tc>
          <w:tcPr>
            <w:tcW w:type="dxa" w:w="115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+0.1118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+0.0919</w:t>
            </w:r>
          </w:p>
        </w:tc>
        <w:tc>
          <w:tcPr>
            <w:tcW w:type="dxa" w:w="115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+0.0199</w:t>
            </w:r>
          </w:p>
        </w:tc>
        <w:tc>
          <w:tcPr>
            <w:tcW w:type="dxa" w:w="1008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+0.000000</w:t>
            </w:r>
          </w:p>
        </w:tc>
      </w:tr>
      <w:tr>
        <w:tc>
          <w:tcPr>
            <w:tcW w:type="dxa" w:w="864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Region</w:t>
            </w:r>
          </w:p>
        </w:tc>
        <w:tc>
          <w:tcPr>
            <w:tcW w:type="dxa" w:w="936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0.2943</w:t>
            </w:r>
          </w:p>
        </w:tc>
        <w:tc>
          <w:tcPr>
            <w:tcW w:type="dxa" w:w="936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0.3682</w:t>
            </w:r>
          </w:p>
        </w:tc>
        <w:tc>
          <w:tcPr>
            <w:tcW w:type="dxa" w:w="115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+0.0739</w:t>
            </w:r>
          </w:p>
        </w:tc>
        <w:tc>
          <w:tcPr>
            <w:tcW w:type="dxa" w:w="108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+0.0582</w:t>
            </w:r>
          </w:p>
        </w:tc>
        <w:tc>
          <w:tcPr>
            <w:tcW w:type="dxa" w:w="115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+0.0156</w:t>
            </w:r>
          </w:p>
        </w:tc>
        <w:tc>
          <w:tcPr>
            <w:tcW w:type="dxa" w:w="1008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+0.000000</w:t>
            </w:r>
          </w:p>
        </w:tc>
      </w:tr>
    </w:tbl>
    <w:p>
      <w:pPr>
        <w:spacing w:after="0"/>
      </w:pPr>
    </w:p>
    <w:p>
      <w:r>
        <w:t>方法：先换银行代理率再换权重、以及先换权重再换代理率，各计算一次；同名贡献取两种顺序平均。银行级和州/区域级贡献详见Excel SymmetricBridge；加总核对差为舍入前零。以上均为算术贡献，不是信用恶化的因果效果。</w:t>
      </w:r>
    </w:p>
    <w:p>
      <w:pPr>
        <w:pStyle w:val="Heading1"/>
      </w:pPr>
      <w:r>
        <w:t>四、八家名额与端点指标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>
        <w:tc>
          <w:tcPr>
            <w:tcW w:type="dxa" w:w="432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序</w:t>
            </w:r>
          </w:p>
        </w:tc>
        <w:tc>
          <w:tcPr>
            <w:tcW w:type="dxa" w:w="720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CERT</w:t>
            </w:r>
          </w:p>
        </w:tc>
        <w:tc>
          <w:tcPr>
            <w:tcW w:type="dxa" w:w="432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州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银行</w:t>
            </w:r>
          </w:p>
        </w:tc>
        <w:tc>
          <w:tcPr>
            <w:tcW w:type="dxa" w:w="864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代理率%</w:t>
            </w:r>
          </w:p>
        </w:tc>
        <w:tc>
          <w:tcPr>
            <w:tcW w:type="dxa" w:w="792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同比pp</w:t>
            </w:r>
          </w:p>
        </w:tc>
        <w:tc>
          <w:tcPr>
            <w:tcW w:type="dxa" w:w="1080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房贷/贷款%</w:t>
            </w:r>
          </w:p>
        </w:tc>
        <w:tc>
          <w:tcPr>
            <w:tcW w:type="dxa" w:w="1080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权益/资产%</w:t>
            </w:r>
          </w:p>
        </w:tc>
        <w:tc>
          <w:tcPr>
            <w:tcW w:type="dxa" w:w="792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ROA%</w:t>
            </w:r>
          </w:p>
        </w:tc>
        <w:tc>
          <w:tcPr>
            <w:tcW w:type="dxa" w:w="792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RBC%</w:t>
            </w:r>
          </w:p>
        </w:tc>
      </w:tr>
      <w:tr>
        <w:tc>
          <w:tcPr>
            <w:tcW w:type="dxa" w:w="43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</w:t>
            </w:r>
          </w:p>
        </w:tc>
        <w:tc>
          <w:tcPr>
            <w:tcW w:type="dxa" w:w="72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6280</w:t>
            </w:r>
          </w:p>
        </w:tc>
        <w:tc>
          <w:tcPr>
            <w:tcW w:type="dxa" w:w="43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VT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THE FIRST NATIONAL BANK OF ORWELL</w:t>
            </w:r>
          </w:p>
        </w:tc>
        <w:tc>
          <w:tcPr>
            <w:tcW w:type="dxa" w:w="864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1.6577</w:t>
            </w:r>
          </w:p>
        </w:tc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0.1737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88.8468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11.3353</w:t>
            </w:r>
          </w:p>
        </w:tc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1.3665</w:t>
            </w:r>
          </w:p>
        </w:tc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0.0000</w:t>
            </w:r>
          </w:p>
        </w:tc>
      </w:tr>
      <w:tr>
        <w:tc>
          <w:tcPr>
            <w:tcW w:type="dxa" w:w="43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2</w:t>
            </w:r>
          </w:p>
        </w:tc>
        <w:tc>
          <w:tcPr>
            <w:tcW w:type="dxa" w:w="72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59289</w:t>
            </w:r>
          </w:p>
        </w:tc>
        <w:tc>
          <w:tcPr>
            <w:tcW w:type="dxa" w:w="43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NH</w:t>
            </w:r>
          </w:p>
        </w:tc>
        <w:tc>
          <w:tcPr>
            <w:tcW w:type="dxa" w:w="252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WALDEN MUTUAL BANK</w:t>
            </w:r>
          </w:p>
        </w:tc>
        <w:tc>
          <w:tcPr>
            <w:tcW w:type="dxa" w:w="864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1.9419</w:t>
            </w:r>
          </w:p>
        </w:tc>
        <w:tc>
          <w:tcPr>
            <w:tcW w:type="dxa" w:w="7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1.6341</w:t>
            </w:r>
          </w:p>
        </w:tc>
        <w:tc>
          <w:tcPr>
            <w:tcW w:type="dxa" w:w="108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36.1757</w:t>
            </w:r>
          </w:p>
        </w:tc>
        <w:tc>
          <w:tcPr>
            <w:tcW w:type="dxa" w:w="108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10.7527</w:t>
            </w:r>
          </w:p>
        </w:tc>
        <w:tc>
          <w:tcPr>
            <w:tcW w:type="dxa" w:w="7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-0.2400</w:t>
            </w:r>
          </w:p>
        </w:tc>
        <w:tc>
          <w:tcPr>
            <w:tcW w:type="dxa" w:w="7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0.0000</w:t>
            </w:r>
          </w:p>
        </w:tc>
      </w:tr>
      <w:tr>
        <w:tc>
          <w:tcPr>
            <w:tcW w:type="dxa" w:w="43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3</w:t>
            </w:r>
          </w:p>
        </w:tc>
        <w:tc>
          <w:tcPr>
            <w:tcW w:type="dxa" w:w="72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29636</w:t>
            </w:r>
          </w:p>
        </w:tc>
        <w:tc>
          <w:tcPr>
            <w:tcW w:type="dxa" w:w="43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ME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FIRST FEDERAL SAVINGS AND LOAN ASSOCIATION OF BATH</w:t>
            </w:r>
          </w:p>
        </w:tc>
        <w:tc>
          <w:tcPr>
            <w:tcW w:type="dxa" w:w="864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1.6716</w:t>
            </w:r>
          </w:p>
        </w:tc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0.1565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97.7633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14.8976</w:t>
            </w:r>
          </w:p>
        </w:tc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0.2346</w:t>
            </w:r>
          </w:p>
        </w:tc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27.1672</w:t>
            </w:r>
          </w:p>
        </w:tc>
      </w:tr>
      <w:tr>
        <w:tc>
          <w:tcPr>
            <w:tcW w:type="dxa" w:w="43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4</w:t>
            </w:r>
          </w:p>
        </w:tc>
        <w:tc>
          <w:tcPr>
            <w:tcW w:type="dxa" w:w="72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59086</w:t>
            </w:r>
          </w:p>
        </w:tc>
        <w:tc>
          <w:tcPr>
            <w:tcW w:type="dxa" w:w="43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NH</w:t>
            </w:r>
          </w:p>
        </w:tc>
        <w:tc>
          <w:tcPr>
            <w:tcW w:type="dxa" w:w="252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PRIMARY BANK</w:t>
            </w:r>
          </w:p>
        </w:tc>
        <w:tc>
          <w:tcPr>
            <w:tcW w:type="dxa" w:w="864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1.9080</w:t>
            </w:r>
          </w:p>
        </w:tc>
        <w:tc>
          <w:tcPr>
            <w:tcW w:type="dxa" w:w="7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1.3356</w:t>
            </w:r>
          </w:p>
        </w:tc>
        <w:tc>
          <w:tcPr>
            <w:tcW w:type="dxa" w:w="108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80.0090</w:t>
            </w:r>
          </w:p>
        </w:tc>
        <w:tc>
          <w:tcPr>
            <w:tcW w:type="dxa" w:w="108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14.6001</w:t>
            </w:r>
          </w:p>
        </w:tc>
        <w:tc>
          <w:tcPr>
            <w:tcW w:type="dxa" w:w="7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1.5569</w:t>
            </w:r>
          </w:p>
        </w:tc>
        <w:tc>
          <w:tcPr>
            <w:tcW w:type="dxa" w:w="7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16.7806</w:t>
            </w:r>
          </w:p>
        </w:tc>
      </w:tr>
      <w:tr>
        <w:tc>
          <w:tcPr>
            <w:tcW w:type="dxa" w:w="43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5</w:t>
            </w:r>
          </w:p>
        </w:tc>
        <w:tc>
          <w:tcPr>
            <w:tcW w:type="dxa" w:w="72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30878</w:t>
            </w:r>
          </w:p>
        </w:tc>
        <w:tc>
          <w:tcPr>
            <w:tcW w:type="dxa" w:w="43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ME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BAR HARBOR SAVINGS AND LOAN ASSOCIATION</w:t>
            </w:r>
          </w:p>
        </w:tc>
        <w:tc>
          <w:tcPr>
            <w:tcW w:type="dxa" w:w="864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1.3679</w:t>
            </w:r>
          </w:p>
        </w:tc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-0.4092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99.7954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12.0222</w:t>
            </w:r>
          </w:p>
        </w:tc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0.0020</w:t>
            </w:r>
          </w:p>
        </w:tc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0.0000</w:t>
            </w:r>
          </w:p>
        </w:tc>
      </w:tr>
      <w:tr>
        <w:tc>
          <w:tcPr>
            <w:tcW w:type="dxa" w:w="43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6</w:t>
            </w:r>
          </w:p>
        </w:tc>
        <w:tc>
          <w:tcPr>
            <w:tcW w:type="dxa" w:w="72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19836</w:t>
            </w:r>
          </w:p>
        </w:tc>
        <w:tc>
          <w:tcPr>
            <w:tcW w:type="dxa" w:w="43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ME</w:t>
            </w:r>
          </w:p>
        </w:tc>
        <w:tc>
          <w:tcPr>
            <w:tcW w:type="dxa" w:w="252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FRANKLIN SAVINGS BANK</w:t>
            </w:r>
          </w:p>
        </w:tc>
        <w:tc>
          <w:tcPr>
            <w:tcW w:type="dxa" w:w="864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1.1152</w:t>
            </w:r>
          </w:p>
        </w:tc>
        <w:tc>
          <w:tcPr>
            <w:tcW w:type="dxa" w:w="7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0.3002</w:t>
            </w:r>
          </w:p>
        </w:tc>
        <w:tc>
          <w:tcPr>
            <w:tcW w:type="dxa" w:w="108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91.3450</w:t>
            </w:r>
          </w:p>
        </w:tc>
        <w:tc>
          <w:tcPr>
            <w:tcW w:type="dxa" w:w="108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17.2759</w:t>
            </w:r>
          </w:p>
        </w:tc>
        <w:tc>
          <w:tcPr>
            <w:tcW w:type="dxa" w:w="7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0.8395</w:t>
            </w:r>
          </w:p>
        </w:tc>
        <w:tc>
          <w:tcPr>
            <w:tcW w:type="dxa" w:w="7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23.0549</w:t>
            </w:r>
          </w:p>
        </w:tc>
      </w:tr>
      <w:tr>
        <w:tc>
          <w:tcPr>
            <w:tcW w:type="dxa" w:w="43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7</w:t>
            </w:r>
          </w:p>
        </w:tc>
        <w:tc>
          <w:tcPr>
            <w:tcW w:type="dxa" w:w="72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14158</w:t>
            </w:r>
          </w:p>
        </w:tc>
        <w:tc>
          <w:tcPr>
            <w:tcW w:type="dxa" w:w="43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VT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UNION BANK</w:t>
            </w:r>
          </w:p>
        </w:tc>
        <w:tc>
          <w:tcPr>
            <w:tcW w:type="dxa" w:w="864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1.0315</w:t>
            </w:r>
          </w:p>
        </w:tc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0.8936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92.5852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5.8482</w:t>
            </w:r>
          </w:p>
        </w:tc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0.7049</w:t>
            </w:r>
          </w:p>
        </w:tc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12.6234</w:t>
            </w:r>
          </w:p>
        </w:tc>
      </w:tr>
      <w:tr>
        <w:tc>
          <w:tcPr>
            <w:tcW w:type="dxa" w:w="43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8</w:t>
            </w:r>
          </w:p>
        </w:tc>
        <w:tc>
          <w:tcPr>
            <w:tcW w:type="dxa" w:w="72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19690</w:t>
            </w:r>
          </w:p>
        </w:tc>
        <w:tc>
          <w:tcPr>
            <w:tcW w:type="dxa" w:w="43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ME</w:t>
            </w:r>
          </w:p>
        </w:tc>
        <w:tc>
          <w:tcPr>
            <w:tcW w:type="dxa" w:w="252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NORTHEAST BANK</w:t>
            </w:r>
          </w:p>
        </w:tc>
        <w:tc>
          <w:tcPr>
            <w:tcW w:type="dxa" w:w="864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0.8182</w:t>
            </w:r>
          </w:p>
        </w:tc>
        <w:tc>
          <w:tcPr>
            <w:tcW w:type="dxa" w:w="7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-0.0840</w:t>
            </w:r>
          </w:p>
        </w:tc>
        <w:tc>
          <w:tcPr>
            <w:tcW w:type="dxa" w:w="108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75.2726</w:t>
            </w:r>
          </w:p>
        </w:tc>
        <w:tc>
          <w:tcPr>
            <w:tcW w:type="dxa" w:w="108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11.5513</w:t>
            </w:r>
          </w:p>
        </w:tc>
        <w:tc>
          <w:tcPr>
            <w:tcW w:type="dxa" w:w="7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2.0918</w:t>
            </w:r>
          </w:p>
        </w:tc>
        <w:tc>
          <w:tcPr>
            <w:tcW w:type="dxa" w:w="7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14.6966</w:t>
            </w:r>
          </w:p>
        </w:tc>
      </w:tr>
    </w:tbl>
    <w:p>
      <w:pPr>
        <w:spacing w:after="0"/>
      </w:pPr>
    </w:p>
    <w:p>
      <w:r>
        <w:t>选择机械规则：先分别取VT、NH、ME代理率最高者，再从未选银行按代理率降序补足八家，同率按CERT数值升序。RBCRWAJ=0按原始值展示，不推断其含义；需向银行取得报表或适用性说明。</w:t>
      </w:r>
    </w:p>
    <w:p>
      <w:pPr>
        <w:spacing w:after="40"/>
      </w:pPr>
      <w:r>
        <w:rPr>
          <w:b/>
        </w:rPr>
        <w:t>1. THE FIRST NATIONAL BANK OF ORWELL（VT, CERT 6280）</w:t>
      </w:r>
      <w:r>
        <w:t xml:space="preserve"> — VT保底且州内代理率最高；代理率同比上升，房地产贷款占比较高。 补证：贷款逾期账龄与非应计逐笔清单；风险评级迁徙、复息/展期审批；房地产抵押物估值及更新频率；资本比率字段为0的原始报表/适用性说明。</w:t>
      </w:r>
    </w:p>
    <w:p>
      <w:pPr>
        <w:spacing w:after="40"/>
      </w:pPr>
      <w:r>
        <w:rPr>
          <w:b/>
        </w:rPr>
        <w:t>2. WALDEN MUTUAL BANK（NH, CERT 59289）</w:t>
      </w:r>
      <w:r>
        <w:t xml:space="preserve"> — NH保底且全样本代理率最高；资产增长同时非应计金额明显上升，ROA仍为负。 补证：非应计新增贷款清单及董事会问题贷报告；资产增长期承保例外、分类与ACL支持；负ROA成因明细；资本比率字段为0的原始报表/适用性说明。</w:t>
      </w:r>
    </w:p>
    <w:p>
      <w:pPr>
        <w:spacing w:after="40"/>
      </w:pPr>
      <w:r>
        <w:rPr>
          <w:b/>
        </w:rPr>
        <w:t>3. FIRST FEDERAL SAVINGS AND LOAN ASSOCIATION OF BATH（ME, CERT 29636）</w:t>
      </w:r>
      <w:r>
        <w:t xml:space="preserve"> — ME保底且州内代理率最高；房地产贷款占比接近全部贷款，代理率同比上升。 补证：90天以上逾期与非应计明细、还款来源和分类依据；房地产类型/地域集中及压力测试；抵押物评估；盈利与资本趋势支持。</w:t>
      </w:r>
    </w:p>
    <w:p>
      <w:pPr>
        <w:spacing w:after="40"/>
      </w:pPr>
      <w:r>
        <w:rPr>
          <w:b/>
        </w:rPr>
        <w:t>4. PRIMARY BANK（NH, CERT 59086）</w:t>
      </w:r>
      <w:r>
        <w:t xml:space="preserve"> — 全区递补；代理率同比显著上升，新增90天以上逾期金额。 补证：新增P9ASSET逐笔账龄、是否转非应计及分类记录；展期/重组和回款证据；房地产组合分层；盈利与资本计算支持。</w:t>
      </w:r>
    </w:p>
    <w:p>
      <w:pPr>
        <w:spacing w:after="40"/>
      </w:pPr>
      <w:r>
        <w:rPr>
          <w:b/>
        </w:rPr>
        <w:t>5. BAR HARBOR SAVINGS AND LOAN ASSOCIATION（ME, CERT 30878）</w:t>
      </w:r>
      <w:r>
        <w:t xml:space="preserve"> — 全区递补；代理率仍高且房地产贷款占比极高，虽同比下降仍需核实。 补证：非应计余额下降的回款、处置或核销证据；房地产集中限额、例外及抵押物复评；接近零ROA原因；资本比率字段为0的报表说明。</w:t>
      </w:r>
    </w:p>
    <w:p>
      <w:pPr>
        <w:spacing w:after="40"/>
      </w:pPr>
      <w:r>
        <w:rPr>
          <w:b/>
        </w:rPr>
        <w:t>6. FRANKLIN SAVINGS BANK（ME, CERT 19836）</w:t>
      </w:r>
      <w:r>
        <w:t xml:space="preserve"> — 全区递补；非应计金额与房地产占比同比上升。 补证：非应计增长逐笔桥接及内部风险评级；房地产组合集中/估值；ACL方法与冲销；盈利、资本和董事会监控资料。</w:t>
      </w:r>
    </w:p>
    <w:p>
      <w:pPr>
        <w:spacing w:after="40"/>
      </w:pPr>
      <w:r>
        <w:rPr>
          <w:b/>
        </w:rPr>
        <w:t>7. UNION BANK（VT, CERT 14158）</w:t>
      </w:r>
      <w:r>
        <w:t xml:space="preserve"> — 全区递补；非应计金额大幅上升、权益/资产较低且房地产贷款占比较高。 补证：非应计激增逐笔桥接、分类与还款来源；房地产集中和抵押物复评；低权益/资产背景下资本计划及RBCRWAJ支持；收益质量。</w:t>
      </w:r>
    </w:p>
    <w:p>
      <w:pPr>
        <w:spacing w:after="40"/>
      </w:pPr>
      <w:r>
        <w:rPr>
          <w:b/>
        </w:rPr>
        <w:t>8. NORTHEAST BANK（ME, CERT 19690）</w:t>
      </w:r>
      <w:r>
        <w:t xml:space="preserve"> — 全区递补；问题资产代理分子绝对额在八家中最大，资产规模增长明显。 补证：大额非应计清单、来源和处置计划；快速资产增长期承保抽样与分类迁徙；房地产细分集中；盈利与资本充足性支持。</w:t>
      </w:r>
    </w:p>
    <w:p>
      <w:pPr>
        <w:pStyle w:val="Heading1"/>
      </w:pPr>
      <w:r>
        <w:t>五、人力可行性与批准方案</w:t>
      </w:r>
    </w:p>
    <w:p>
      <w:pPr>
        <w:pStyle w:val="ListBullet"/>
        <w:spacing w:after="40"/>
      </w:pPr>
      <w:r>
        <w:rPr>
          <w:b/>
        </w:rPr>
        <w:t>约束核算：</w:t>
      </w:r>
      <w:r>
        <w:t>8家×1人日基础=8人日；三州各1家完整复核需在基础上各加2人日，共6人日；最低合计14人日。13人日不满足，FIN-D2不成立。</w:t>
      </w:r>
    </w:p>
    <w:p>
      <w:pPr>
        <w:pStyle w:val="ListBullet"/>
        <w:spacing w:after="40"/>
      </w:pPr>
      <w:r>
        <w:rPr>
          <w:b/>
        </w:rPr>
        <w:t>当前可批准：</w:t>
      </w:r>
      <w:r>
        <w:t>八家基础台账核查，共8人日。剩余5人日不能构成同时覆盖三州的完整方案，因此不将13人日包装为可行排期。</w:t>
      </w:r>
    </w:p>
    <w:p>
      <w:pPr>
        <w:pStyle w:val="ListBullet"/>
        <w:spacing w:after="40"/>
      </w:pPr>
      <w:r>
        <w:rPr>
          <w:b/>
        </w:rPr>
        <w:t>待追加1人日后批准：</w:t>
      </w:r>
      <w:r>
        <w:t>完整复核三家按各州八家入选者中2025代理分子最大化选择——VT 14158（15,261）、NH 59086（13,828）、ME 19690（35,011）；其余五家基础核查。总计14人日。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432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序</w:t>
            </w:r>
          </w:p>
        </w:tc>
        <w:tc>
          <w:tcPr>
            <w:tcW w:type="dxa" w:w="720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CERT</w:t>
            </w:r>
          </w:p>
        </w:tc>
        <w:tc>
          <w:tcPr>
            <w:tcW w:type="dxa" w:w="432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州</w:t>
            </w:r>
          </w:p>
        </w:tc>
        <w:tc>
          <w:tcPr>
            <w:tcW w:type="dxa" w:w="2592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银行</w:t>
            </w:r>
          </w:p>
        </w:tc>
        <w:tc>
          <w:tcPr>
            <w:tcW w:type="dxa" w:w="936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576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人日</w:t>
            </w:r>
          </w:p>
        </w:tc>
        <w:tc>
          <w:tcPr>
            <w:tcW w:type="dxa" w:w="1944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拟负责角色</w:t>
            </w:r>
          </w:p>
        </w:tc>
        <w:tc>
          <w:tcPr>
            <w:tcW w:type="dxa" w:w="1080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期限</w:t>
            </w:r>
          </w:p>
        </w:tc>
      </w:tr>
      <w:tr>
        <w:tc>
          <w:tcPr>
            <w:tcW w:type="dxa" w:w="43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</w:t>
            </w:r>
          </w:p>
        </w:tc>
        <w:tc>
          <w:tcPr>
            <w:tcW w:type="dxa" w:w="72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6280</w:t>
            </w:r>
          </w:p>
        </w:tc>
        <w:tc>
          <w:tcPr>
            <w:tcW w:type="dxa" w:w="43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VT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THE FIRST NATIONAL BANK OF ORWELL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基础台账核查</w:t>
            </w:r>
          </w:p>
        </w:tc>
        <w:tc>
          <w:tcPr>
            <w:tcW w:type="dxa" w:w="576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</w:t>
            </w:r>
          </w:p>
        </w:tc>
        <w:tc>
          <w:tcPr>
            <w:tcW w:type="dxa" w:w="1944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贷款组合复核员（VT）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T+5工作日</w:t>
            </w:r>
          </w:p>
        </w:tc>
      </w:tr>
      <w:tr>
        <w:tc>
          <w:tcPr>
            <w:tcW w:type="dxa" w:w="43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2</w:t>
            </w:r>
          </w:p>
        </w:tc>
        <w:tc>
          <w:tcPr>
            <w:tcW w:type="dxa" w:w="72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59289</w:t>
            </w:r>
          </w:p>
        </w:tc>
        <w:tc>
          <w:tcPr>
            <w:tcW w:type="dxa" w:w="43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NH</w:t>
            </w:r>
          </w:p>
        </w:tc>
        <w:tc>
          <w:tcPr>
            <w:tcW w:type="dxa" w:w="25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WALDEN MUTUAL BANK</w:t>
            </w:r>
          </w:p>
        </w:tc>
        <w:tc>
          <w:tcPr>
            <w:tcW w:type="dxa" w:w="936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基础台账核查</w:t>
            </w:r>
          </w:p>
        </w:tc>
        <w:tc>
          <w:tcPr>
            <w:tcW w:type="dxa" w:w="576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</w:t>
            </w:r>
          </w:p>
        </w:tc>
        <w:tc>
          <w:tcPr>
            <w:tcW w:type="dxa" w:w="1944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高级信贷复核员（NH）</w:t>
            </w:r>
          </w:p>
        </w:tc>
        <w:tc>
          <w:tcPr>
            <w:tcW w:type="dxa" w:w="108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T+3工作日</w:t>
            </w:r>
          </w:p>
        </w:tc>
      </w:tr>
      <w:tr>
        <w:tc>
          <w:tcPr>
            <w:tcW w:type="dxa" w:w="43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3</w:t>
            </w:r>
          </w:p>
        </w:tc>
        <w:tc>
          <w:tcPr>
            <w:tcW w:type="dxa" w:w="72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29636</w:t>
            </w:r>
          </w:p>
        </w:tc>
        <w:tc>
          <w:tcPr>
            <w:tcW w:type="dxa" w:w="43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ME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FIRST FEDERAL SAVINGS AND LOAN ASSOCIATION OF BATH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基础台账核查</w:t>
            </w:r>
          </w:p>
        </w:tc>
        <w:tc>
          <w:tcPr>
            <w:tcW w:type="dxa" w:w="576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</w:t>
            </w:r>
          </w:p>
        </w:tc>
        <w:tc>
          <w:tcPr>
            <w:tcW w:type="dxa" w:w="1944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房地产信贷复核员（ME）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T+5工作日</w:t>
            </w:r>
          </w:p>
        </w:tc>
      </w:tr>
      <w:tr>
        <w:tc>
          <w:tcPr>
            <w:tcW w:type="dxa" w:w="43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4</w:t>
            </w:r>
          </w:p>
        </w:tc>
        <w:tc>
          <w:tcPr>
            <w:tcW w:type="dxa" w:w="72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59086</w:t>
            </w:r>
          </w:p>
        </w:tc>
        <w:tc>
          <w:tcPr>
            <w:tcW w:type="dxa" w:w="43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NH</w:t>
            </w:r>
          </w:p>
        </w:tc>
        <w:tc>
          <w:tcPr>
            <w:tcW w:type="dxa" w:w="25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PRIMARY BANK</w:t>
            </w:r>
          </w:p>
        </w:tc>
        <w:tc>
          <w:tcPr>
            <w:tcW w:type="dxa" w:w="936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完整复核</w:t>
            </w:r>
          </w:p>
        </w:tc>
        <w:tc>
          <w:tcPr>
            <w:tcW w:type="dxa" w:w="576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3</w:t>
            </w:r>
          </w:p>
        </w:tc>
        <w:tc>
          <w:tcPr>
            <w:tcW w:type="dxa" w:w="1944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高级信贷复核员（NH）</w:t>
            </w:r>
          </w:p>
        </w:tc>
        <w:tc>
          <w:tcPr>
            <w:tcW w:type="dxa" w:w="108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T+3工作日</w:t>
            </w:r>
          </w:p>
        </w:tc>
      </w:tr>
      <w:tr>
        <w:tc>
          <w:tcPr>
            <w:tcW w:type="dxa" w:w="43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5</w:t>
            </w:r>
          </w:p>
        </w:tc>
        <w:tc>
          <w:tcPr>
            <w:tcW w:type="dxa" w:w="72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30878</w:t>
            </w:r>
          </w:p>
        </w:tc>
        <w:tc>
          <w:tcPr>
            <w:tcW w:type="dxa" w:w="43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ME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BAR HARBOR SAVINGS AND LOAN ASSOCIATION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基础台账核查</w:t>
            </w:r>
          </w:p>
        </w:tc>
        <w:tc>
          <w:tcPr>
            <w:tcW w:type="dxa" w:w="576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</w:t>
            </w:r>
          </w:p>
        </w:tc>
        <w:tc>
          <w:tcPr>
            <w:tcW w:type="dxa" w:w="1944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房地产信贷复核员（ME）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T+5工作日</w:t>
            </w:r>
          </w:p>
        </w:tc>
      </w:tr>
      <w:tr>
        <w:tc>
          <w:tcPr>
            <w:tcW w:type="dxa" w:w="43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6</w:t>
            </w:r>
          </w:p>
        </w:tc>
        <w:tc>
          <w:tcPr>
            <w:tcW w:type="dxa" w:w="72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19836</w:t>
            </w:r>
          </w:p>
        </w:tc>
        <w:tc>
          <w:tcPr>
            <w:tcW w:type="dxa" w:w="43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ME</w:t>
            </w:r>
          </w:p>
        </w:tc>
        <w:tc>
          <w:tcPr>
            <w:tcW w:type="dxa" w:w="25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FRANKLIN SAVINGS BANK</w:t>
            </w:r>
          </w:p>
        </w:tc>
        <w:tc>
          <w:tcPr>
            <w:tcW w:type="dxa" w:w="936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基础台账核查</w:t>
            </w:r>
          </w:p>
        </w:tc>
        <w:tc>
          <w:tcPr>
            <w:tcW w:type="dxa" w:w="576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</w:t>
            </w:r>
          </w:p>
        </w:tc>
        <w:tc>
          <w:tcPr>
            <w:tcW w:type="dxa" w:w="1944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房地产信贷复核员（ME）</w:t>
            </w:r>
          </w:p>
        </w:tc>
        <w:tc>
          <w:tcPr>
            <w:tcW w:type="dxa" w:w="108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T+5工作日</w:t>
            </w:r>
          </w:p>
        </w:tc>
      </w:tr>
      <w:tr>
        <w:tc>
          <w:tcPr>
            <w:tcW w:type="dxa" w:w="43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7</w:t>
            </w:r>
          </w:p>
        </w:tc>
        <w:tc>
          <w:tcPr>
            <w:tcW w:type="dxa" w:w="72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14158</w:t>
            </w:r>
          </w:p>
        </w:tc>
        <w:tc>
          <w:tcPr>
            <w:tcW w:type="dxa" w:w="43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VT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UNION BANK</w:t>
            </w:r>
          </w:p>
        </w:tc>
        <w:tc>
          <w:tcPr>
            <w:tcW w:type="dxa" w:w="936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完整复核</w:t>
            </w:r>
          </w:p>
        </w:tc>
        <w:tc>
          <w:tcPr>
            <w:tcW w:type="dxa" w:w="576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3</w:t>
            </w:r>
          </w:p>
        </w:tc>
        <w:tc>
          <w:tcPr>
            <w:tcW w:type="dxa" w:w="1944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贷款组合复核员（VT）</w:t>
            </w:r>
          </w:p>
        </w:tc>
        <w:tc>
          <w:tcPr>
            <w:tcW w:type="dxa" w:w="108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T+5工作日</w:t>
            </w:r>
          </w:p>
        </w:tc>
      </w:tr>
      <w:tr>
        <w:tc>
          <w:tcPr>
            <w:tcW w:type="dxa" w:w="43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8</w:t>
            </w:r>
          </w:p>
        </w:tc>
        <w:tc>
          <w:tcPr>
            <w:tcW w:type="dxa" w:w="72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19690</w:t>
            </w:r>
          </w:p>
        </w:tc>
        <w:tc>
          <w:tcPr>
            <w:tcW w:type="dxa" w:w="43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ME</w:t>
            </w:r>
          </w:p>
        </w:tc>
        <w:tc>
          <w:tcPr>
            <w:tcW w:type="dxa" w:w="25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NORTHEAST BANK</w:t>
            </w:r>
          </w:p>
        </w:tc>
        <w:tc>
          <w:tcPr>
            <w:tcW w:type="dxa" w:w="936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完整复核</w:t>
            </w:r>
          </w:p>
        </w:tc>
        <w:tc>
          <w:tcPr>
            <w:tcW w:type="dxa" w:w="576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3</w:t>
            </w:r>
          </w:p>
        </w:tc>
        <w:tc>
          <w:tcPr>
            <w:tcW w:type="dxa" w:w="1944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房地产信贷复核员（ME）</w:t>
            </w:r>
          </w:p>
        </w:tc>
        <w:tc>
          <w:tcPr>
            <w:tcW w:type="dxa" w:w="108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T+5工作日</w:t>
            </w:r>
          </w:p>
        </w:tc>
      </w:tr>
    </w:tbl>
    <w:p>
      <w:pPr>
        <w:spacing w:after="0"/>
      </w:pPr>
    </w:p>
    <w:p>
      <w:r>
        <w:t>“完整复核”方案的批准条件为总预算达到14人日。逐家批准条件已同步写入Excel EffortPlan/Priority和follow_up_register.csv。</w:t>
      </w:r>
    </w:p>
    <w:p>
      <w:pPr>
        <w:pStyle w:val="Heading1"/>
      </w:pPr>
      <w:r>
        <w:t>六、贷款手册依据与代理指标局限</w:t>
      </w:r>
    </w:p>
    <w:p>
      <w:pPr>
        <w:pStyle w:val="ListBullet"/>
        <w:spacing w:after="40"/>
      </w:pPr>
      <w:r>
        <w:t>FDIC贷款手册Section 3.2（冻结PDF第44–46页）强调风险导向、前瞻性的样本选择，应覆盖新发生及不同规模贷款，并根据风险属性决定完整、有限或组合审查深度。</w:t>
      </w:r>
    </w:p>
    <w:p>
      <w:pPr>
        <w:pStyle w:val="ListBullet"/>
        <w:spacing w:after="40"/>
      </w:pPr>
      <w:r>
        <w:t>第47–49页要求个贷评价关注贷款用途、预期还款来源、信用质量及分类，并避免把健全贷款错误分类；因此代理率高只触发验证，不等同违规、监管评级或倒闭判断。</w:t>
      </w:r>
    </w:p>
    <w:p>
      <w:pPr>
        <w:pStyle w:val="ListBullet"/>
        <w:spacing w:after="40"/>
      </w:pPr>
      <w:r>
        <w:t>第50页要求结合逾期贷款的构成、趋势及原因，并讨论非应计适用与“充分担保且正在收款”等证据；仅凭汇总余额无法判定逐笔分类是否恰当。</w:t>
      </w:r>
    </w:p>
    <w:p>
      <w:pPr>
        <w:pStyle w:val="ListBullet"/>
        <w:spacing w:after="40"/>
      </w:pPr>
      <w:r>
        <w:t>房地产占比只是组合结构指标。应补查类型与地域集中、政策限额、承保例外、抵押物评估和压力分析；本备忘录不引用材料未给出的监管阈值。</w:t>
      </w:r>
    </w:p>
    <w:p>
      <w:pPr>
        <w:pStyle w:val="ListBullet"/>
        <w:spacing w:after="40"/>
      </w:pPr>
      <w:r>
        <w:t>ROA是已年化原始百分数，RBCRWAJ也是原始百分数；均不重复乘100。盈利和资本只能作为复核线索，不能替代资产质量的逐笔证据。</w:t>
      </w:r>
    </w:p>
    <w:p>
      <w:pPr>
        <w:pStyle w:val="Heading1"/>
      </w:pPr>
      <w:r>
        <w:t>七、数据治理与审计轨迹</w:t>
      </w:r>
    </w:p>
    <w:p>
      <w:pPr>
        <w:pStyle w:val="ListBullet"/>
        <w:spacing w:after="40"/>
      </w:pPr>
      <w:r>
        <w:t>金融CSV共746行、14个连续季度、54个CERT；CERT+REPDTE无重复。全局季度日期无缺失；若强制54家全期平衡面板则有10个空格，未补值。</w:t>
      </w:r>
    </w:p>
    <w:p>
      <w:pPr>
        <w:pStyle w:val="ListBullet"/>
        <w:spacing w:after="40"/>
      </w:pPr>
      <w:r>
        <w:t>机构CSV共355行、355个唯一CERT；金融54个CERT全部一对一匹配。匹配中ACTIVE=1有51家、ACTIVE=0有3家，后者未用于删除历史。</w:t>
      </w:r>
    </w:p>
    <w:p>
      <w:pPr>
        <w:pStyle w:val="ListBullet"/>
        <w:spacing w:after="40"/>
      </w:pPr>
      <w:r>
        <w:t>核心字段无缺失，ASSET零分母0条；LNLSGR零分母13条，其房地产贷款占比留空。所有银行季度原始行号与计算字段在BankQuarter。</w:t>
      </w:r>
    </w:p>
    <w:p>
      <w:pPr>
        <w:pStyle w:val="ListBullet"/>
        <w:spacing w:after="40"/>
      </w:pPr>
      <w:r>
        <w:t>字段定义来源：冻结API文档页指向risview_properties.yaml（金融）及institution_properties.yaml（机构）；本练习提供的对应快照为financial_definitions.yaml与institution_definitions.yaml。详细定义和口径见Excel Sources。</w:t>
      </w:r>
    </w:p>
    <w:p>
      <w:pPr>
        <w:pStyle w:val="Heading1"/>
      </w:pPr>
      <w:r>
        <w:t>八、DecisionAudit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792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主张</w:t>
            </w:r>
          </w:p>
        </w:tc>
        <w:tc>
          <w:tcPr>
            <w:tcW w:type="dxa" w:w="864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968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3240"/>
            <w:vAlign w:val="center"/>
            <w:shd w:fill="17365D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资源影响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FIN-D1</w:t>
            </w:r>
          </w:p>
        </w:tc>
        <w:tc>
          <w:tcPr>
            <w:tcW w:type="dxa" w:w="864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不成立</w:t>
            </w:r>
          </w:p>
        </w:tc>
        <w:tc>
          <w:tcPr>
            <w:tcW w:type="dxa" w:w="4968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共同集合区域变化 0.073851个百分点；SymmetricBridge中银行内代理率变化贡献 0.058247、资产权重变化贡献 0.015604个百分点。固定集合并未自动剔除权重变化。</w:t>
            </w:r>
          </w:p>
        </w:tc>
        <w:tc>
          <w:tcPr>
            <w:tcW w:type="dxa" w:w="3240"/>
            <w:vAlign w:val="center"/>
            <w:shd w:fill="FFFFFF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不能把共同集合变化全部称为银行自身信用恶化；资源排序仍基于规则，但原因须补证。</w:t>
            </w:r>
          </w:p>
        </w:tc>
      </w:tr>
      <w:tr>
        <w:tc>
          <w:tcPr>
            <w:tcW w:type="dxa" w:w="792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FIN-D2</w:t>
            </w:r>
          </w:p>
        </w:tc>
        <w:tc>
          <w:tcPr>
            <w:tcW w:type="dxa" w:w="864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不成立</w:t>
            </w:r>
          </w:p>
        </w:tc>
        <w:tc>
          <w:tcPr>
            <w:tcW w:type="dxa" w:w="4968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8家基础=8人日；三州各1家完整复核在基础上各加2人日，共加6；最少14人日，现有13人日短缺1。</w:t>
            </w:r>
          </w:p>
        </w:tc>
        <w:tc>
          <w:tcPr>
            <w:tcW w:type="dxa" w:w="3240"/>
            <w:vAlign w:val="center"/>
            <w:shd w:fill="F3F7FA"/>
          </w:tcPr>
          <w:p>
            <w:r/>
            <w:r>
              <w:rPr>
                <w:rFonts w:ascii="Arial" w:hAnsi="Arial" w:eastAsia="Microsoft YaHei"/>
                <w:b w:val="0"/>
                <w:sz w:val="15"/>
              </w:rPr>
              <w:t>当前只批准8家基础核查；完整方案须追加1人日后批准。</w:t>
            </w:r>
          </w:p>
        </w:tc>
      </w:tr>
    </w:tbl>
    <w:p>
      <w:pPr>
        <w:spacing w:after="0"/>
      </w:pPr>
    </w:p>
    <w:p>
      <w:r>
        <w:t>结语：优先级是可重复的资源分配规则，不是对银行安全性、合规性或未来结果的判断。委员会应把已算出的汇总事实与待查的贷款层面原因保持分离。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冻结公共数据回顾性桌面演练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新英格兰三州银行｜季度信用复核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F6B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