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Dota 2 平衡复核试玩建议简报</w:t>
      </w:r>
    </w:p>
    <w:p>
      <w:r>
        <w:rPr>
          <w:b/>
        </w:rPr>
        <w:t>材料来源：</w:t>
      </w:r>
      <w:r>
        <w:t>UCI Dota2 Games Results 2016快照（训练92,650局/保留10,294局）</w:t>
        <w:br/>
      </w:r>
      <w:r>
        <w:rPr>
          <w:b/>
        </w:rPr>
        <w:t>分析时窗：</w:t>
      </w:r>
      <w:r>
        <w:t>2016年采集快照；不代表当前版本</w:t>
        <w:br/>
      </w:r>
      <w:r>
        <w:rPr>
          <w:b/>
        </w:rPr>
        <w:t>交付对象：</w:t>
      </w:r>
      <w:r>
        <w:t>设计负责人（试玩优先事项，非上线削弱/增强名单）</w:t>
        <w:br/>
      </w:r>
      <w:r>
        <w:rPr>
          <w:b/>
        </w:rPr>
        <w:t>日期：</w:t>
      </w:r>
      <w:r>
        <w:t>2026-10-23</w:t>
      </w:r>
    </w:p>
    <w:p/>
    <w:p>
      <w:pPr>
        <w:pStyle w:val="Heading1"/>
      </w:pPr>
      <w:r>
        <w:t>一、执行摘要</w:t>
      </w:r>
    </w:p>
    <w:p>
      <w:r>
        <w:t>基于UCI 2016快照训练集，按分层基线(cluster/game_mode/game_type)校正后，挑选六项英雄胜率信号作为受控试玩假设(FrozenSix)。其中三项通过Leave-Cluster-Out稳健性门槛，安排完整受控试玩；其余三项保留轻量证据收集。本简报不发布任何数值调整建议。</w:t>
      </w:r>
    </w:p>
    <w:p>
      <w:pPr>
        <w:pStyle w:val="Heading1"/>
      </w:pPr>
      <w:r>
        <w:t>二、数据审计要点</w:t>
      </w:r>
    </w:p>
    <w:p>
      <w:r>
        <w:t>• 训练集92,650行，保留集10,294行，均为117列无表头CSV</w:t>
        <w:br/>
        <w:t>• 列1=胜方(+1/-1)，列2=cluster(47个取值)，列3=game_mode(9种)，列4=game_type(3种)，列5-117=113个英雄指示列</w:t>
        <w:br/>
        <w:t>• 每局恰好5名+1方英雄和5名-1方英雄，无缺失</w:t>
        <w:br/>
        <w:t>• 无精确重复行，跨split无精确行重叠</w:t>
        <w:br/>
        <w:t>• 无match ID列，无法验证跨split对局级去重；相同编码不等于同一真实对局</w:t>
        <w:br/>
        <w:t>• 英雄ID 24在映射中缺失，对应列H024在两split中恒为0</w:t>
        <w:br/>
        <w:t>• 英雄ID 108对应列H108在两split中恒为0</w:t>
        <w:br/>
        <w:t>• 采集代码(dota2ApiLoader.py)使用hero_id直接映射列索引=hero_id-1，与heroes_mapping.json一致</w:t>
      </w:r>
    </w:p>
    <w:p>
      <w:pPr>
        <w:pStyle w:val="Heading1"/>
      </w:pPr>
      <w:r>
        <w:t>三、方法论</w:t>
      </w:r>
    </w:p>
    <w:p>
      <w:r>
        <w:t>分层基线：以(cluster, game_mode, game_type)为分层键；层内训练样本&gt;=100时用该层+1方胜率作基线，否则用训练集总体+1方胜率(0.5265)。</w:t>
        <w:br/>
        <w:t>英雄预期胜率：对某英雄每次出场，若在+1方则预期胜率=层基线p，若在-1方则预期胜率=1-p；逐次平均得预期胜率。</w:t>
        <w:br/>
        <w:t>校正差(adj_gap)=原始胜率-预期胜率，仅为分层关联差，非因果效果。</w:t>
        <w:br/>
        <w:t>训练合格标准：出场&gt;=1000且在每一方出场&gt;=200；113项中109项合格。</w:t>
        <w:br/>
        <w:t>FrozenSix选取：按校正差最高3项+最低3项，并列按H编号升序；仅由训练数据决定。</w:t>
        <w:br/>
        <w:t>测试集仅作一次保留集复核，沿用训练基线，不重选六项或重估基线。</w:t>
      </w:r>
    </w:p>
    <w:p>
      <w:pPr>
        <w:pStyle w:val="Heading1"/>
      </w:pPr>
      <w:r>
        <w:t>四、Frozen Six清单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顺序</w:t>
            </w:r>
          </w:p>
        </w:tc>
        <w:tc>
          <w:tcPr>
            <w:tcW w:type="dxa" w:w="1234"/>
          </w:tcPr>
          <w:p>
            <w:r>
              <w:t>H_ID</w:t>
            </w:r>
          </w:p>
        </w:tc>
        <w:tc>
          <w:tcPr>
            <w:tcW w:type="dxa" w:w="1234"/>
          </w:tcPr>
          <w:p>
            <w:r>
              <w:t>英雄</w:t>
            </w:r>
          </w:p>
        </w:tc>
        <w:tc>
          <w:tcPr>
            <w:tcW w:type="dxa" w:w="1234"/>
          </w:tcPr>
          <w:p>
            <w:r>
              <w:t>方向</w:t>
            </w:r>
          </w:p>
        </w:tc>
        <w:tc>
          <w:tcPr>
            <w:tcW w:type="dxa" w:w="1234"/>
          </w:tcPr>
          <w:p>
            <w:r>
              <w:t>训练出场</w:t>
            </w:r>
          </w:p>
        </w:tc>
        <w:tc>
          <w:tcPr>
            <w:tcW w:type="dxa" w:w="1234"/>
          </w:tcPr>
          <w:p>
            <w:r>
              <w:t>训练adj_gap</w:t>
            </w:r>
          </w:p>
        </w:tc>
        <w:tc>
          <w:tcPr>
            <w:tcW w:type="dxa" w:w="1234"/>
          </w:tcPr>
          <w:p>
            <w:r>
              <w:t>测试adj_gap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H057</w:t>
            </w:r>
          </w:p>
        </w:tc>
        <w:tc>
          <w:tcPr>
            <w:tcW w:type="dxa" w:w="1234"/>
          </w:tcPr>
          <w:p>
            <w:r>
              <w:t>Omniknight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8320</w:t>
            </w:r>
          </w:p>
        </w:tc>
        <w:tc>
          <w:tcPr>
            <w:tcW w:type="dxa" w:w="1234"/>
          </w:tcPr>
          <w:p>
            <w:r>
              <w:t>+0.1078</w:t>
            </w:r>
          </w:p>
        </w:tc>
        <w:tc>
          <w:tcPr>
            <w:tcW w:type="dxa" w:w="1234"/>
          </w:tcPr>
          <w:p>
            <w:r>
              <w:t>+0.1000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H103</w:t>
            </w:r>
          </w:p>
        </w:tc>
        <w:tc>
          <w:tcPr>
            <w:tcW w:type="dxa" w:w="1234"/>
          </w:tcPr>
          <w:p>
            <w:r>
              <w:t>Elder Titan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5959</w:t>
            </w:r>
          </w:p>
        </w:tc>
        <w:tc>
          <w:tcPr>
            <w:tcW w:type="dxa" w:w="1234"/>
          </w:tcPr>
          <w:p>
            <w:r>
              <w:t>+0.0860</w:t>
            </w:r>
          </w:p>
        </w:tc>
        <w:tc>
          <w:tcPr>
            <w:tcW w:type="dxa" w:w="1234"/>
          </w:tcPr>
          <w:p>
            <w:r>
              <w:t>+0.0947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H036</w:t>
            </w:r>
          </w:p>
        </w:tc>
        <w:tc>
          <w:tcPr>
            <w:tcW w:type="dxa" w:w="1234"/>
          </w:tcPr>
          <w:p>
            <w:r>
              <w:t>Necrophos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10729</w:t>
            </w:r>
          </w:p>
        </w:tc>
        <w:tc>
          <w:tcPr>
            <w:tcW w:type="dxa" w:w="1234"/>
          </w:tcPr>
          <w:p>
            <w:r>
              <w:t>+0.0640</w:t>
            </w:r>
          </w:p>
        </w:tc>
        <w:tc>
          <w:tcPr>
            <w:tcW w:type="dxa" w:w="1234"/>
          </w:tcPr>
          <w:p>
            <w:r>
              <w:t>+0.0583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H091</w:t>
            </w:r>
          </w:p>
        </w:tc>
        <w:tc>
          <w:tcPr>
            <w:tcW w:type="dxa" w:w="1234"/>
          </w:tcPr>
          <w:p>
            <w:r>
              <w:t>Wisp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1592</w:t>
            </w:r>
          </w:p>
        </w:tc>
        <w:tc>
          <w:tcPr>
            <w:tcW w:type="dxa" w:w="1234"/>
          </w:tcPr>
          <w:p>
            <w:r>
              <w:t>-0.1467</w:t>
            </w:r>
          </w:p>
        </w:tc>
        <w:tc>
          <w:tcPr>
            <w:tcW w:type="dxa" w:w="1234"/>
          </w:tcPr>
          <w:p>
            <w:r>
              <w:t>-0.0644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H061</w:t>
            </w:r>
          </w:p>
        </w:tc>
        <w:tc>
          <w:tcPr>
            <w:tcW w:type="dxa" w:w="1234"/>
          </w:tcPr>
          <w:p>
            <w:r>
              <w:t>Broodmother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1960</w:t>
            </w:r>
          </w:p>
        </w:tc>
        <w:tc>
          <w:tcPr>
            <w:tcW w:type="dxa" w:w="1234"/>
          </w:tcPr>
          <w:p>
            <w:r>
              <w:t>-0.1239</w:t>
            </w:r>
          </w:p>
        </w:tc>
        <w:tc>
          <w:tcPr>
            <w:tcW w:type="dxa" w:w="1234"/>
          </w:tcPr>
          <w:p>
            <w:r>
              <w:t>-0.0267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H080</w:t>
            </w:r>
          </w:p>
        </w:tc>
        <w:tc>
          <w:tcPr>
            <w:tcW w:type="dxa" w:w="1234"/>
          </w:tcPr>
          <w:p>
            <w:r>
              <w:t>Lone Druid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1575</w:t>
            </w:r>
          </w:p>
        </w:tc>
        <w:tc>
          <w:tcPr>
            <w:tcW w:type="dxa" w:w="1234"/>
          </w:tcPr>
          <w:p>
            <w:r>
              <w:t>-0.1142</w:t>
            </w:r>
          </w:p>
        </w:tc>
        <w:tc>
          <w:tcPr>
            <w:tcW w:type="dxa" w:w="1234"/>
          </w:tcPr>
          <w:p>
            <w:r>
              <w:t>-0.1433</w:t>
            </w:r>
          </w:p>
        </w:tc>
      </w:tr>
    </w:tbl>
    <w:p/>
    <w:p>
      <w:r>
        <w:t>注：测试集Wilson 95%区间针对原始胜率，不是校正差的显著性区间；六项为探索性多重比较，不能据此宣布因果或统计显著。</w:t>
      </w:r>
    </w:p>
    <w:p>
      <w:pPr>
        <w:pStyle w:val="Heading1"/>
      </w:pPr>
      <w:r>
        <w:t>五、Leave-Cluster-Out稳健性</w:t>
      </w:r>
    </w:p>
    <w:p>
      <w:r>
        <w:t>对训练样本&gt;=1000的每个cluster(共21个)各做一次整cluster剔除；在剩余训练数据重建基线，不重选FrozenSix。只有每次剩余出场&gt;=500且每方&gt;=100、并且每次严格同号的项目，才具备完整试玩升级资格。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H_ID</w:t>
            </w:r>
          </w:p>
        </w:tc>
        <w:tc>
          <w:tcPr>
            <w:tcW w:type="dxa" w:w="1728"/>
          </w:tcPr>
          <w:p>
            <w:r>
              <w:t>方向</w:t>
            </w:r>
          </w:p>
        </w:tc>
        <w:tc>
          <w:tcPr>
            <w:tcW w:type="dxa" w:w="1728"/>
          </w:tcPr>
          <w:p>
            <w:r>
              <w:t>资格</w:t>
            </w:r>
          </w:p>
        </w:tc>
        <w:tc>
          <w:tcPr>
            <w:tcW w:type="dxa" w:w="1728"/>
          </w:tcPr>
          <w:p>
            <w:r>
              <w:t>保守强度</w:t>
            </w:r>
          </w:p>
        </w:tc>
        <w:tc>
          <w:tcPr>
            <w:tcW w:type="dxa" w:w="1728"/>
          </w:tcPr>
          <w:p>
            <w:r>
              <w:t>分配</w:t>
            </w:r>
          </w:p>
        </w:tc>
      </w:tr>
      <w:tr>
        <w:tc>
          <w:tcPr>
            <w:tcW w:type="dxa" w:w="1728"/>
          </w:tcPr>
          <w:p>
            <w:r>
              <w:t>H057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  <w:tc>
          <w:tcPr>
            <w:tcW w:type="dxa" w:w="1728"/>
          </w:tcPr>
          <w:p>
            <w:r>
              <w:t>0.1055</w:t>
            </w:r>
          </w:p>
        </w:tc>
        <w:tc>
          <w:tcPr>
            <w:tcW w:type="dxa" w:w="1728"/>
          </w:tcPr>
          <w:p>
            <w:r>
              <w:t>完整试玩</w:t>
            </w:r>
          </w:p>
        </w:tc>
      </w:tr>
      <w:tr>
        <w:tc>
          <w:tcPr>
            <w:tcW w:type="dxa" w:w="1728"/>
          </w:tcPr>
          <w:p>
            <w:r>
              <w:t>H103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  <w:tc>
          <w:tcPr>
            <w:tcW w:type="dxa" w:w="1728"/>
          </w:tcPr>
          <w:p>
            <w:r>
              <w:t>0.0794</w:t>
            </w:r>
          </w:p>
        </w:tc>
        <w:tc>
          <w:tcPr>
            <w:tcW w:type="dxa" w:w="1728"/>
          </w:tcPr>
          <w:p>
            <w:r>
              <w:t>轻量收集</w:t>
            </w:r>
          </w:p>
        </w:tc>
      </w:tr>
      <w:tr>
        <w:tc>
          <w:tcPr>
            <w:tcW w:type="dxa" w:w="1728"/>
          </w:tcPr>
          <w:p>
            <w:r>
              <w:t>H036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  <w:tc>
          <w:tcPr>
            <w:tcW w:type="dxa" w:w="1728"/>
          </w:tcPr>
          <w:p>
            <w:r>
              <w:t>0.0615</w:t>
            </w:r>
          </w:p>
        </w:tc>
        <w:tc>
          <w:tcPr>
            <w:tcW w:type="dxa" w:w="1728"/>
          </w:tcPr>
          <w:p>
            <w:r>
              <w:t>轻量收集</w:t>
            </w:r>
          </w:p>
        </w:tc>
      </w:tr>
      <w:tr>
        <w:tc>
          <w:tcPr>
            <w:tcW w:type="dxa" w:w="1728"/>
          </w:tcPr>
          <w:p>
            <w:r>
              <w:t>H091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  <w:tc>
          <w:tcPr>
            <w:tcW w:type="dxa" w:w="1728"/>
          </w:tcPr>
          <w:p>
            <w:r>
              <w:t>0.1411</w:t>
            </w:r>
          </w:p>
        </w:tc>
        <w:tc>
          <w:tcPr>
            <w:tcW w:type="dxa" w:w="1728"/>
          </w:tcPr>
          <w:p>
            <w:r>
              <w:t>完整试玩</w:t>
            </w:r>
          </w:p>
        </w:tc>
      </w:tr>
      <w:tr>
        <w:tc>
          <w:tcPr>
            <w:tcW w:type="dxa" w:w="1728"/>
          </w:tcPr>
          <w:p>
            <w:r>
              <w:t>H061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  <w:tc>
          <w:tcPr>
            <w:tcW w:type="dxa" w:w="1728"/>
          </w:tcPr>
          <w:p>
            <w:r>
              <w:t>0.1193</w:t>
            </w:r>
          </w:p>
        </w:tc>
        <w:tc>
          <w:tcPr>
            <w:tcW w:type="dxa" w:w="1728"/>
          </w:tcPr>
          <w:p>
            <w:r>
              <w:t>完整试玩</w:t>
            </w:r>
          </w:p>
        </w:tc>
      </w:tr>
      <w:tr>
        <w:tc>
          <w:tcPr>
            <w:tcW w:type="dxa" w:w="1728"/>
          </w:tcPr>
          <w:p>
            <w:r>
              <w:t>H080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  <w:tc>
          <w:tcPr>
            <w:tcW w:type="dxa" w:w="1728"/>
          </w:tcPr>
          <w:p>
            <w:r>
              <w:t>0.1109</w:t>
            </w:r>
          </w:p>
        </w:tc>
        <w:tc>
          <w:tcPr>
            <w:tcW w:type="dxa" w:w="1728"/>
          </w:tcPr>
          <w:p>
            <w:r>
              <w:t>轻量收集</w:t>
            </w:r>
          </w:p>
        </w:tc>
      </w:tr>
    </w:tbl>
    <w:p/>
    <w:p>
      <w:r>
        <w:t>选择规则：在合格项目中选恰好三项完整试玩，要求high/low方向各至少一项，使三项保守强度之和最大；并列按三项排序后的H编号向量字典序。本批最优组合为{H057, H061, H091}，保守强度之和=0.3660。</w:t>
      </w:r>
    </w:p>
    <w:p>
      <w:pPr>
        <w:pStyle w:val="Heading1"/>
      </w:pPr>
      <w:r>
        <w:t>六、DecisionAudit：GA-D1 / GA-D2复核</w:t>
      </w:r>
    </w:p>
    <w:p>
      <w:r>
        <w:rPr>
          <w:b/>
        </w:rPr>
        <w:t>GA-D1：</w:t>
      </w:r>
      <w:r>
        <w:t>"六项在保留集方向复现，足以说明单一cluster构成不可能主导信号。"</w:t>
        <w:br/>
      </w:r>
      <w:r>
        <w:rPr>
          <w:b/>
        </w:rPr>
        <w:t>复核结论：不成立。</w:t>
      </w:r>
      <w:r>
        <w:t>保留集方向复现仅说明信号在时间/玩家分布漂移下未反转，不能证明单一cluster不主导。本分析通过Leave-Cluster-Out(21次整cluster剔除)直接检验cluster敏感性：六项在所有21次剔除中均保持严格同号，且剩余出场&gt;=500/每方&gt;=100，才具备升级资格。这是比保留集复核更强的cluster稳健性证据。但保留集复核本身不能替代LCO分析；两者应并列呈现，不可互相替代。</w:t>
      </w:r>
    </w:p>
    <w:p/>
    <w:p>
      <w:r>
        <w:rPr>
          <w:b/>
        </w:rPr>
        <w:t>GA-D2：</w:t>
      </w:r>
      <w:r>
        <w:t>"为了选出三个完整试玩名额，可以用测试集重新估计分层基线，再把最强三项换进训练冻结六项。"</w:t>
        <w:br/>
      </w:r>
      <w:r>
        <w:rPr>
          <w:b/>
        </w:rPr>
        <w:t>复核结论：不允许。</w:t>
      </w:r>
      <w:r>
        <w:t>测试集在本业务安排中为一次性保留集，仅用于冻结清单后的方向复核，不得用于重选六项或重估基线。若用测试集重选，将破坏保留集的无偏复核功能，使最终清单对测试集过拟合。三项完整试玩名额必须完全由训练集证据(含LCO稳健性)决定。本分析严格遵守此约束：FrozenSix仅由训练集产生，测试集仅用于一次方向复核，三项完整试玩选择仅基于训练集LCO保守强度。</w:t>
      </w:r>
    </w:p>
    <w:p>
      <w:pPr>
        <w:pStyle w:val="Heading1"/>
      </w:pPr>
      <w:r>
        <w:t>七、完整受控试玩三项</w:t>
      </w:r>
    </w:p>
    <w:p>
      <w:pPr>
        <w:pStyle w:val="Heading2"/>
      </w:pPr>
      <w:r>
        <w:t>7.1 H057 Omniknight（high方向）</w:t>
      </w:r>
    </w:p>
    <w:p>
      <w:r>
        <w:t>训练证据：出场8320次(+/−方4229/4091)，原始胜率0.6085，预期0.5007，校正差+0.1078。</w:t>
        <w:br/>
        <w:t>LCO稳健性：21次剔除均严格同号，保守强度0.1055(最小绝对校正差)。</w:t>
        <w:br/>
        <w:t>测试复核：出场917次，校正差+0.1000，方向复现；Wilson 95%原始胜率区间[0.5677, 0.6310]。</w:t>
        <w:br/>
        <w:t>应检查混杂：cluster分布(尤其151-156大cluster)、game_mode(全9种)、game_type、分阵营(+1方vs-1方)差异。</w:t>
        <w:br/>
        <w:t>对照设计：固定分层下对比Omniknight出场vs不出场的+1方胜率；对照为同分层无该英雄的局。</w:t>
        <w:br/>
        <w:t>主要观察指标：分层校正胜率差(百分点)、分阵营胜率、对位经济/经验曲线、禁用/首抢率。</w:t>
        <w:br/>
        <w:t>支持条件：受控试玩中校正胜率差&gt;=0.10且方向一致。</w:t>
        <w:br/>
        <w:t>推翻条件：校正胜率差&lt;0.02或方向相反；或分阵营差异显示仅特定位置驱动。</w:t>
        <w:br/>
        <w:t>拟负责角色：平衡设计师(数值/技能)+数据分析师+QA试玩。</w:t>
        <w:br/>
        <w:t>优先级：完整受控试玩(保守强度0.1055)。</w:t>
      </w:r>
    </w:p>
    <w:p>
      <w:pPr>
        <w:pStyle w:val="Heading2"/>
      </w:pPr>
      <w:r>
        <w:t>7.2 H061 Broodmother（low方向）</w:t>
      </w:r>
    </w:p>
    <w:p>
      <w:r>
        <w:t>训练证据：出场1960次(+/−方978/982)，原始胜率0.3760，预期0.4999，校正差-0.1239。</w:t>
        <w:br/>
        <w:t>LCO稳健性：21次剔除均严格同号，保守强度0.1193。</w:t>
        <w:br/>
        <w:t>测试复核：出场210次，校正差-0.0267，方向复现(但幅度大幅衰减)；Wilson 95%原始胜率区间[0.4050, 0.5389]。</w:t>
        <w:br/>
        <w:t>应检查混杂：cluster分布、game_mode、game_type、分阵营差异；测试集稀疏层回退占比14.3%。</w:t>
        <w:br/>
        <w:t>对照设计：固定分层下对比Broodmother出场vs不出场的-1方胜率；对照为同分层无该英雄的局。</w:t>
        <w:br/>
        <w:t>主要观察指标：分层校正胜率差、分阵营胜率、对位经济/经验曲线、禁用/首抢率。</w:t>
        <w:br/>
        <w:t>支持条件：受控试玩中校正胜率差&lt;=-0.11且方向一致。</w:t>
        <w:br/>
        <w:t>推翻条件：校正胜率差&gt;-0.02或方向相反；或分层后差异消失。</w:t>
        <w:br/>
        <w:t>拟负责角色：平衡设计师(数值/技能)+数据分析师+QA试玩。</w:t>
        <w:br/>
        <w:t>优先级：完整受控试玩(保守强度0.1193)。</w:t>
      </w:r>
    </w:p>
    <w:p>
      <w:pPr>
        <w:pStyle w:val="Heading2"/>
      </w:pPr>
      <w:r>
        <w:t>7.3 H091 Wisp（low方向）</w:t>
      </w:r>
    </w:p>
    <w:p>
      <w:r>
        <w:t>训练证据：出场1592次(+/−方840/752)，原始胜率0.3555，预期0.5022，校正差-0.1467。</w:t>
        <w:br/>
        <w:t>LCO稳健性：21次剔除均严格同号，保守强度0.1411(六项中最高)。</w:t>
        <w:br/>
        <w:t>测试复核：出场198次，校正差-0.0644，方向复现(幅度衰减)；Wilson 95%原始胜率区间[0.3672, 0.5040]。</w:t>
        <w:br/>
        <w:t>应检查混杂：cluster分布、game_mode、game_type、分阵营差异；测试集稀疏层回退占比10.1%。</w:t>
        <w:br/>
        <w:t>对照设计：固定分层下对比Wisp出场vs不出场的-1方胜率；对照为同分层无该英雄的局。</w:t>
        <w:br/>
        <w:t>主要观察指标：分层校正胜率差、分阵营胜率、对位经济/经验曲线、禁用/首抢率。</w:t>
        <w:br/>
        <w:t>支持条件：受控试玩中校正胜率差&lt;=-0.14且方向一致。</w:t>
        <w:br/>
        <w:t>推翻条件：校正胜率差&gt;-0.02或方向相反；或分层后差异消失。</w:t>
        <w:br/>
        <w:t>拟负责角色：平衡设计师(数值/技能)+数据分析师+QA试玩。</w:t>
        <w:br/>
        <w:t>优先级：完整受控试玩(保守强度0.1411)。</w:t>
      </w:r>
    </w:p>
    <w:p>
      <w:pPr>
        <w:pStyle w:val="Heading1"/>
      </w:pPr>
      <w:r>
        <w:t>八、轻量证据收集三项</w:t>
      </w:r>
    </w:p>
    <w:p>
      <w:r>
        <w:t>H103 Elder Titan(high, 保守强度0.0794)、H036 Necrophos(high, 保守强度0.0615)、H080 Lone Druid(low, 保守强度0.1109)。</w:t>
        <w:br/>
        <w:t>此三项虽通过LCO稳健性门槛，但在最优选择约束下未被选入完整试玩。保留轻量证据收集：继续积累受控试玩外的观察数据，待后续批次评估是否升级。</w:t>
      </w:r>
    </w:p>
    <w:p>
      <w:pPr>
        <w:pStyle w:val="Heading1"/>
      </w:pPr>
      <w:r>
        <w:t>九、限制与解释边界</w:t>
      </w:r>
    </w:p>
    <w:p>
      <w:r>
        <w:t>1. 时窗限制：数据为2016年快照，不代表当前版本；英雄数值、技能、物品、玩家水平均已多次迭代。</w:t>
        <w:br/>
        <w:t>2. 版本/玩家/角色信息缺失：CSV无patch版本、玩家段位、位置分配等字段；无法控制这些混杂。</w:t>
        <w:br/>
        <w:t>3. 英雄映射：heroes_mapping.json含112项(缺ID 24)；列H024和H108在两split中恒为0，可能为历史遗留或采集异常。</w:t>
        <w:br/>
        <w:t>4. 对局去重：无match ID列，无法验证跨split对局级去重；相同编码不等于同一真实对局。</w:t>
        <w:br/>
        <w:t>5. 因果推断：校正差为分层关联差，非因果效果；不能直接泛化为"该英雄过强/过弱"。</w:t>
        <w:br/>
        <w:t>6. 多重比较：六项为探索性选择，未做多重比较校正；Wilson区间针对原始胜率，不是校正差的显著性区间。</w:t>
        <w:br/>
        <w:t>7. 保守强度非统计置信下界：仅为LCO情景中校正差绝对值的最小值，不代表统计显著性。</w:t>
        <w:br/>
        <w:t>8. 信号不可直接泛化：本清单为试玩优先事项，非上线削弱/增强名单；需受控试玩验证后方可决定是否研究数值调整。</w:t>
      </w:r>
    </w:p>
    <w:p>
      <w:pPr>
        <w:pStyle w:val="Heading1"/>
      </w:pPr>
      <w:r>
        <w:t>十、结论</w:t>
      </w:r>
    </w:p>
    <w:p>
      <w:r>
        <w:t>本简报基于UCI 2016快照训练集，通过分层基线校正和Leave-Cluster-Out稳健性检验，挑选六项英雄胜率信号作为受控试玩假设。其中三项(H057 Omniknight/high, H061 Broodmother/low, H091 Wisp/low)具备完整受控试玩资格，建议安排优先试玩。其余三项保留轻量证据收集。所有信号均为探索性关联，需受控试玩验证后方可决定是否研究数值调整。本简报不发布任何数值调整建议。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