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三县户外活动室内备用政策复盘</w:t>
      </w:r>
    </w:p>
    <w:p>
      <w:r>
        <w:t>共786个拟安排工作日场次。政策A相对B多转室内67场、4020潜在参与人时；两者相同的缺测室内备用另计1场。建议保留B的分级安排，同时为敏感人群提供A级室内选择，并按县月准备弹性容量。</w:t>
      </w:r>
    </w:p>
    <w:p>
      <w:pPr>
        <w:pStyle w:val="Heading1"/>
      </w:pPr>
      <w:r>
        <w:t>各县资源需求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拟安排场次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缺测备用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A额外室内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Pima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Yuma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</w:t>
            </w:r>
          </w:p>
        </w:tc>
      </w:tr>
    </w:tbl>
    <w:p>
      <w:pPr>
        <w:pStyle w:val="Heading1"/>
      </w:pPr>
      <w:r>
        <w:t>差异集中月份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月份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A额外室内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额外潜在人时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</w:t>
            </w:r>
          </w:p>
        </w:tc>
      </w:tr>
    </w:tbl>
    <w:p>
      <w:pPr>
        <w:pStyle w:val="Heading1"/>
      </w:pPr>
      <w:r>
        <w:t>覆盖与对账</w:t>
      </w:r>
    </w:p>
    <w:p>
      <w:r>
        <w:t>三县各补齐366日，原始日记录数1097；FIPS由州县代码构造并与Census县名核对。缺测见DataAudit，逐日原始行号在日历；不会填0或用年度总数补造日期。日表重算六档、有效日和最大值对年表的24项核对，非零差异0项。</w:t>
      </w:r>
    </w:p>
    <w:p>
      <w:r>
        <w:t>年表差异如出现应回查快照版本与监测范围，不能修改原件或强行认定某表错误。日历仅周一至周五，包含节假日；年度对账使用全年全部观测日。</w:t>
      </w:r>
    </w:p>
    <w:p>
      <w:pPr>
        <w:pStyle w:val="Heading1"/>
      </w:pPr>
      <w:r>
        <w:t>运营行动</w:t>
      </w:r>
    </w:p>
    <w:p>
      <w:r>
        <w:t>优先为差异集中县月预订可按日启用的室内空间。每天在活动前查当时可获得的实时/预报与场地信息，再做运行决定；本题最终日AQI只能回顾模拟。</w:t>
      </w:r>
    </w:p>
    <w:p>
      <w:r>
        <w:t>B下101–150降低强度并提供室内选项；资源核算中的B超标室内仅统计&gt;=151，不能假称敏感人群因此无需保护。A更保守但多占室内容量，负责人应结合参与者构成和可用场地选择。</w:t>
      </w:r>
    </w:p>
    <w:p>
      <w:r>
        <w:t>缺测日单独按待测室内备用管理，不能把缺测算成超标或两种政策差异。每场40×1.5=60是题设潜在人时，不是真实出勤。</w:t>
      </w:r>
    </w:p>
    <w:p>
      <w:pPr>
        <w:pStyle w:val="Heading1"/>
      </w:pPr>
      <w:r>
        <w:t>解释边界</w:t>
      </w:r>
    </w:p>
    <w:p>
      <w:r>
        <w:t>县日AQI不是某活动小时或个人暴露；站点数量和覆盖会影响观察。没有健康结果，不能推断哮喘因果。2024以外年份、下一年精确超标天数或当前实时风险均不能由本历史模拟确定。</w:t>
      </w:r>
    </w:p>
    <w:p>
      <w:pPr>
        <w:pStyle w:val="Heading1"/>
      </w:pPr>
      <w:r>
        <w:t>有限追加补贴下的执行计划</w:t>
      </w:r>
    </w:p>
    <w:p>
      <w:r>
        <w:t>全年追加补贴安排47场，费用6120美元，管理优先积分2488；各月最多900、每日最多1县，月份余额不结转。</w:t>
      </w:r>
    </w:p>
    <w:p>
      <w:r>
        <w:t>先按B执行已落实资金的超标室内/缺测备用和室内选项，再在101–150候选中选取追加全场室内。未选候选仍按B。县内场地各自存在，每日最多一县是中央协调限制，不是跨县共用物理场地。</w:t>
      </w:r>
    </w:p>
    <w:p>
      <w:r>
        <w:t>最优性方法：将同日期候选作为互斥组，逐日期更新每个可达费用的最高积分；完整终态费用前沿和追溯行号见ResourceFrontier。给出的积分是内部管理偏好，不是健康效益或因果估计。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funded</w:t>
            </w:r>
          </w:p>
        </w:tc>
        <w:tc>
          <w:tcPr>
            <w:tcW w:type="dxa" w:w="1440"/>
          </w:tcPr>
          <w:p>
            <w:r>
              <w:t>spent</w:t>
            </w:r>
          </w:p>
        </w:tc>
        <w:tc>
          <w:tcPr>
            <w:tcW w:type="dxa" w:w="1440"/>
          </w:tcPr>
          <w:p>
            <w:r>
              <w:t>unspent</w:t>
            </w:r>
          </w:p>
        </w:tc>
        <w:tc>
          <w:tcPr>
            <w:tcW w:type="dxa" w:w="1440"/>
          </w:tcPr>
          <w:p>
            <w:r>
              <w:t>optimal_service_points</w:t>
            </w:r>
          </w:p>
        </w:tc>
        <w:tc>
          <w:tcPr>
            <w:tcW w:type="dxa" w:w="1440"/>
          </w:tcPr>
          <w:p>
            <w:r>
              <w:t>greedy_optimality_gap</w:t>
            </w:r>
          </w:p>
        </w:tc>
      </w:tr>
      <w:tr>
        <w:tc>
          <w:tcPr>
            <w:tcW w:type="dxa" w:w="1440"/>
          </w:tcPr>
          <w:p>
            <w:r>
              <w:t>2024-01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620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840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369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840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880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576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2024-08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666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880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329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680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2024-11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2024-12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840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