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季度信用复核及名额分配</w:t>
      </w:r>
    </w:p>
    <w:p>
      <w:r>
        <w:t>区域资产代理率从0.2986%变为0.3682%（+0.0696个百分点）。八个核查名额按三州覆盖约束分配，不能将该排序作为银行评级。</w:t>
      </w:r>
    </w:p>
    <w:p>
      <w:pPr>
        <w:pStyle w:val="Heading1"/>
      </w:pPr>
      <w:r>
        <w:t>范围及口径</w:t>
      </w:r>
    </w:p>
    <w:p>
      <w:r>
        <w:t>金融CSV共746行、54家银行、14个季度。CERT+季度无重复；机构资料355行；机构连接未匹配0行、歧义0行。机构日期为更晚快照，不使用ACTIVE筛除历史。逐家缺失季度和资料日期见DataAudit。</w:t>
      </w:r>
    </w:p>
    <w:p>
      <w:r>
        <w:t>FDIC文档页明确引用risview_properties.yaml和institution_properties.yaml，字段核对后再计算。金额按题设千美元；ROA已经年化且以百分数表示。代理率为(P9ASSET+NAASSET)/ASSET，房地产占比以LNLSGR为分母。</w:t>
      </w:r>
    </w:p>
    <w:p>
      <w:pPr>
        <w:pStyle w:val="Heading1"/>
      </w:pPr>
      <w:r>
        <w:t>观察变化与固定权重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1440"/>
          </w:tcPr>
          <w:p>
            <w:r>
              <w:rPr>
                <w:sz w:val="18"/>
              </w:rPr>
              <w:t>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原期%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当期%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观察变化pp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固定权重变化pp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范围/权重差pp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0.29857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0.36819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0.06963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0.06303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0.0066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0.2642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0.36738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0.10318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0.09749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0.00569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NH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0.36509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0.30595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-0.05914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-0.07282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0.01368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VT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0.3386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0.49473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0.15613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0.15681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-0.00069</w:t>
            </w:r>
          </w:p>
        </w:tc>
      </w:tr>
    </w:tbl>
    <w:p>
      <w:pPr>
        <w:pStyle w:val="Heading1"/>
      </w:pPr>
      <w:r>
        <w:t>如何解释变化</w:t>
      </w:r>
    </w:p>
    <w:p>
      <w:r>
        <w:t>共同银行以2024-06-30资产固定加权，区域变化+0.0630个百分点；与观察变化的差+0.0066个百分点同时含范围和权重变化，不能说纯为银行恶化或单一成因。州固定集合按最新州别，进入/退出CERT及金额见EndpointBridge。</w:t>
      </w:r>
    </w:p>
    <w:p>
      <w:pPr>
        <w:pStyle w:val="Heading1"/>
      </w:pPr>
      <w:r>
        <w:t>八家核查分配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530"/>
        <w:gridCol w:w="1555"/>
        <w:gridCol w:w="1555"/>
      </w:tblGrid>
      <w:tr>
        <w:trPr>
          <w:cantSplit/>
          <w:tblHeader/>
        </w:trPr>
        <w:tc>
          <w:tcPr>
            <w:tcW w:type="dxa" w:w="5530"/>
          </w:tcPr>
          <w:p>
            <w:r>
              <w:rPr>
                <w:sz w:val="18"/>
              </w:rPr>
              <w:t>银行（证书号／州）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当期代理率%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同比变化pp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THE FIRST NATIONAL BANK OF ORWELL</w:t>
              <w:br/>
              <w:t>6280 / VT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1.6577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0.1737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WALDEN MUTUAL BANK</w:t>
              <w:br/>
              <w:t>59289 / NH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1.9419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1.6341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FIRST FEDERAL SAVINGS AND LOAN ASSOCIATION OF BATH</w:t>
              <w:br/>
              <w:t>29636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1.6716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0.1565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PRIMARY BANK</w:t>
              <w:br/>
              <w:t>59086 / NH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1.908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1.3356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BAR HARBOR SAVINGS AND LOAN ASSOCIATION</w:t>
              <w:br/>
              <w:t>30878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1.3679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-0.4092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FRANKLIN SAVINGS BANK</w:t>
              <w:br/>
              <w:t>19836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1.1152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0.3002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UNION BANK</w:t>
              <w:br/>
              <w:t>14158 / VT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1.0315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0.8936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NORTHEAST BANK</w:t>
              <w:br/>
              <w:t>19690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0.8182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-0.084</w:t>
            </w:r>
          </w:p>
        </w:tc>
      </w:tr>
    </w:tbl>
    <w:p>
      <w:pPr>
        <w:pStyle w:val="Heading1"/>
      </w:pPr>
      <w:r>
        <w:t>需要什么证据</w:t>
      </w:r>
    </w:p>
    <w:p>
      <w:r>
        <w:t>贷款手册Section 3.2的Loan Review Systems（本地PDF页1,3,4,5,8）支持以独立贷款复核核验分类及质量。高资产代理率不是贷款不良率、不是违规证据；也不能据此判断资不抵债。</w:t>
      </w:r>
    </w:p>
    <w:p>
      <w:r>
        <w:t>每家请求90天以上与非应计资产明细、分类/还款及担保材料、房地产集中度与抵押估值，再将盈利与资本变动对应到业务原因。委员会后五个工作日只是内部管理时限。各州覆盖选择和后续区域补足见Priority顺序，CSV逐家列证据。</w:t>
      </w:r>
    </w:p>
    <w:p>
      <w:pPr>
        <w:pStyle w:val="Heading1"/>
      </w:pPr>
      <w:r>
        <w:t>结论边界</w:t>
      </w:r>
    </w:p>
    <w:p>
      <w:r>
        <w:t>本次是冻结数据回顾，不是以2026机构快照回测2025时点可用信息。缺失不补零；权重和资产口径需保留。待拿到贷款级证据后再谈信用判断。</w:t>
      </w:r>
    </w:p>
    <w:p>
      <w:pPr>
        <w:pStyle w:val="Heading1"/>
      </w:pPr>
      <w:r>
        <w:t>人力约束下的批准与变动分解</w:t>
      </w:r>
    </w:p>
    <w:p>
      <w:r>
        <w:t>八家基础核查8人日；三州各1次完整复核另需6人日，合计最少14，现有13不可满足全部约束。基础核查可先启动，完整方案尚待额外1人日批准，不声称三州完整复核已全部获批。</w:t>
      </w:r>
    </w:p>
    <w:p>
      <w:r>
        <w:t>条件方案完整复核CERT=[14158, 19690, 59086]，该三家末期代理资产金额之和64100千美元；其余五家保留基础核查。</w:t>
      </w:r>
    </w:p>
    <w:p>
      <w:r>
        <w:t>共同银行仍存在权重变化。两种替换顺序平均后，银行内代理率贡献、权重贡献及额外范围差异合计等于观察变化；这是算术分解而非因果归因，不能与原2024固定权重变化混用。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state</w:t>
            </w:r>
          </w:p>
        </w:tc>
        <w:tc>
          <w:tcPr>
            <w:tcW w:type="dxa" w:w="1080"/>
          </w:tcPr>
          <w:p>
            <w:r>
              <w:t>common_start_pct</w:t>
            </w:r>
          </w:p>
        </w:tc>
        <w:tc>
          <w:tcPr>
            <w:tcW w:type="dxa" w:w="1080"/>
          </w:tcPr>
          <w:p>
            <w:r>
              <w:t>common_end_pct</w:t>
            </w:r>
          </w:p>
        </w:tc>
        <w:tc>
          <w:tcPr>
            <w:tcW w:type="dxa" w:w="1080"/>
          </w:tcPr>
          <w:p>
            <w:r>
              <w:t>common_change_pp</w:t>
            </w:r>
          </w:p>
        </w:tc>
        <w:tc>
          <w:tcPr>
            <w:tcW w:type="dxa" w:w="1080"/>
          </w:tcPr>
          <w:p>
            <w:r>
              <w:t>within_rate_contribution_pp</w:t>
            </w:r>
          </w:p>
        </w:tc>
        <w:tc>
          <w:tcPr>
            <w:tcW w:type="dxa" w:w="1080"/>
          </w:tcPr>
          <w:p>
            <w:r>
              <w:t>asset_weight_contribution_pp</w:t>
            </w:r>
          </w:p>
        </w:tc>
        <w:tc>
          <w:tcPr>
            <w:tcW w:type="dxa" w:w="1080"/>
          </w:tcPr>
          <w:p>
            <w:r>
              <w:t>scope_difference_pp</w:t>
            </w:r>
          </w:p>
        </w:tc>
        <w:tc>
          <w:tcPr>
            <w:tcW w:type="dxa" w:w="1080"/>
          </w:tcPr>
          <w:p>
            <w:r>
              <w:t>observed_change_pp</w:t>
            </w:r>
          </w:p>
        </w:tc>
      </w:tr>
      <w:tr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0.294343</w:t>
            </w:r>
          </w:p>
        </w:tc>
        <w:tc>
          <w:tcPr>
            <w:tcW w:type="dxa" w:w="1080"/>
          </w:tcPr>
          <w:p>
            <w:r>
              <w:t>0.368193</w:t>
            </w:r>
          </w:p>
        </w:tc>
        <w:tc>
          <w:tcPr>
            <w:tcW w:type="dxa" w:w="1080"/>
          </w:tcPr>
          <w:p>
            <w:r>
              <w:t>0.073851</w:t>
            </w:r>
          </w:p>
        </w:tc>
        <w:tc>
          <w:tcPr>
            <w:tcW w:type="dxa" w:w="1080"/>
          </w:tcPr>
          <w:p>
            <w:r>
              <w:t>0.058247</w:t>
            </w:r>
          </w:p>
        </w:tc>
        <w:tc>
          <w:tcPr>
            <w:tcW w:type="dxa" w:w="1080"/>
          </w:tcPr>
          <w:p>
            <w:r>
              <w:t>0.015604</w:t>
            </w:r>
          </w:p>
        </w:tc>
        <w:tc>
          <w:tcPr>
            <w:tcW w:type="dxa" w:w="1080"/>
          </w:tcPr>
          <w:p>
            <w:r>
              <w:t>-0.004224</w:t>
            </w:r>
          </w:p>
        </w:tc>
        <w:tc>
          <w:tcPr>
            <w:tcW w:type="dxa" w:w="1080"/>
          </w:tcPr>
          <w:p>
            <w:r>
              <w:t>0.069627</w:t>
            </w:r>
          </w:p>
        </w:tc>
      </w:tr>
      <w:tr>
        <w:tc>
          <w:tcPr>
            <w:tcW w:type="dxa" w:w="1080"/>
          </w:tcPr>
          <w:p>
            <w:r>
              <w:t>ME</w:t>
            </w:r>
          </w:p>
        </w:tc>
        <w:tc>
          <w:tcPr>
            <w:tcW w:type="dxa" w:w="1080"/>
          </w:tcPr>
          <w:p>
            <w:r>
              <w:t>0.255548</w:t>
            </w:r>
          </w:p>
        </w:tc>
        <w:tc>
          <w:tcPr>
            <w:tcW w:type="dxa" w:w="1080"/>
          </w:tcPr>
          <w:p>
            <w:r>
              <w:t>0.367377</w:t>
            </w:r>
          </w:p>
        </w:tc>
        <w:tc>
          <w:tcPr>
            <w:tcW w:type="dxa" w:w="1080"/>
          </w:tcPr>
          <w:p>
            <w:r>
              <w:t>0.11183</w:t>
            </w:r>
          </w:p>
        </w:tc>
        <w:tc>
          <w:tcPr>
            <w:tcW w:type="dxa" w:w="1080"/>
          </w:tcPr>
          <w:p>
            <w:r>
              <w:t>0.091902</w:t>
            </w:r>
          </w:p>
        </w:tc>
        <w:tc>
          <w:tcPr>
            <w:tcW w:type="dxa" w:w="1080"/>
          </w:tcPr>
          <w:p>
            <w:r>
              <w:t>0.019927</w:t>
            </w:r>
          </w:p>
        </w:tc>
        <w:tc>
          <w:tcPr>
            <w:tcW w:type="dxa" w:w="1080"/>
          </w:tcPr>
          <w:p>
            <w:r>
              <w:t>-0.008652</w:t>
            </w:r>
          </w:p>
        </w:tc>
        <w:tc>
          <w:tcPr>
            <w:tcW w:type="dxa" w:w="1080"/>
          </w:tcPr>
          <w:p>
            <w:r>
              <w:t>0.103178</w:t>
            </w:r>
          </w:p>
        </w:tc>
      </w:tr>
      <w:tr>
        <w:tc>
          <w:tcPr>
            <w:tcW w:type="dxa" w:w="1080"/>
          </w:tcPr>
          <w:p>
            <w:r>
              <w:t>NH</w:t>
            </w:r>
          </w:p>
        </w:tc>
        <w:tc>
          <w:tcPr>
            <w:tcW w:type="dxa" w:w="1080"/>
          </w:tcPr>
          <w:p>
            <w:r>
              <w:t>0.371863</w:t>
            </w:r>
          </w:p>
        </w:tc>
        <w:tc>
          <w:tcPr>
            <w:tcW w:type="dxa" w:w="1080"/>
          </w:tcPr>
          <w:p>
            <w:r>
              <w:t>0.305954</w:t>
            </w:r>
          </w:p>
        </w:tc>
        <w:tc>
          <w:tcPr>
            <w:tcW w:type="dxa" w:w="1080"/>
          </w:tcPr>
          <w:p>
            <w:r>
              <w:t>-0.065909</w:t>
            </w:r>
          </w:p>
        </w:tc>
        <w:tc>
          <w:tcPr>
            <w:tcW w:type="dxa" w:w="1080"/>
          </w:tcPr>
          <w:p>
            <w:r>
              <w:t>-0.08138</w:t>
            </w:r>
          </w:p>
        </w:tc>
        <w:tc>
          <w:tcPr>
            <w:tcW w:type="dxa" w:w="1080"/>
          </w:tcPr>
          <w:p>
            <w:r>
              <w:t>0.015471</w:t>
            </w:r>
          </w:p>
        </w:tc>
        <w:tc>
          <w:tcPr>
            <w:tcW w:type="dxa" w:w="1080"/>
          </w:tcPr>
          <w:p>
            <w:r>
              <w:t>0.006772</w:t>
            </w:r>
          </w:p>
        </w:tc>
        <w:tc>
          <w:tcPr>
            <w:tcW w:type="dxa" w:w="1080"/>
          </w:tcPr>
          <w:p>
            <w:r>
              <w:t>-0.059136</w:t>
            </w:r>
          </w:p>
        </w:tc>
      </w:tr>
      <w:tr>
        <w:tc>
          <w:tcPr>
            <w:tcW w:type="dxa" w:w="1080"/>
          </w:tcPr>
          <w:p>
            <w:r>
              <w:t>VT</w:t>
            </w:r>
          </w:p>
        </w:tc>
        <w:tc>
          <w:tcPr>
            <w:tcW w:type="dxa" w:w="1080"/>
          </w:tcPr>
          <w:p>
            <w:r>
              <w:t>0.338604</w:t>
            </w:r>
          </w:p>
        </w:tc>
        <w:tc>
          <w:tcPr>
            <w:tcW w:type="dxa" w:w="1080"/>
          </w:tcPr>
          <w:p>
            <w:r>
              <w:t>0.494731</w:t>
            </w:r>
          </w:p>
        </w:tc>
        <w:tc>
          <w:tcPr>
            <w:tcW w:type="dxa" w:w="1080"/>
          </w:tcPr>
          <w:p>
            <w:r>
              <w:t>0.156127</w:t>
            </w:r>
          </w:p>
        </w:tc>
        <w:tc>
          <w:tcPr>
            <w:tcW w:type="dxa" w:w="1080"/>
          </w:tcPr>
          <w:p>
            <w:r>
              <w:t>0.157058</w:t>
            </w:r>
          </w:p>
        </w:tc>
        <w:tc>
          <w:tcPr>
            <w:tcW w:type="dxa" w:w="1080"/>
          </w:tcPr>
          <w:p>
            <w:r>
              <w:t>-0.000931</w:t>
            </w:r>
          </w:p>
        </w:tc>
        <w:tc>
          <w:tcPr>
            <w:tcW w:type="dxa" w:w="1080"/>
          </w:tcPr>
          <w:p>
            <w:r>
              <w:t>-0.0</w:t>
            </w:r>
          </w:p>
        </w:tc>
        <w:tc>
          <w:tcPr>
            <w:tcW w:type="dxa" w:w="1080"/>
          </w:tcPr>
          <w:p>
            <w:r>
              <w:t>0.156127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