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安全事件处置法律行动意见</w:t>
      </w:r>
    </w:p>
    <w:p>
      <w:r>
        <w:t>本题需尽快向FTC通报。发现日2025-03-03，最迟2025-04-02；4800人的特定控制例外不免除550人事件的通报义务。本意见及草稿均为假设演练，未发送。</w:t>
      </w:r>
    </w:p>
    <w:p>
      <w:pPr>
        <w:pStyle w:val="Heading1"/>
      </w:pPr>
      <w:r>
        <w:t>适用规则和引用链</w:t>
      </w:r>
    </w:p>
    <w:p>
      <w:r>
        <w:t>FTC业务指南实际链接到eCFR Part 314及具体条款，Sources记录原链接。以2025-01-01冻结XML为适用版，当前网页仅检索。2021旧XML用于比较；2021最终规则细化QI、控制及小机构例外，2023最终规则增加(j)，314.5记载2024-05-13生效。2023 PDF本地页1,8可核对。</w:t>
      </w:r>
    </w:p>
    <w:p>
      <w:r>
        <w:t>公司受FTC规则覆盖为题设，不重新推断真实管辖。314.2(m)定义notification event：未授权取得未加密客户信息；密钥被未授权取得使加密信息按未加密处理；未授权访问存在推定取得且无可靠反证。本案已明确下载且550人，达到至少500门槛。</w:t>
      </w:r>
    </w:p>
    <w:p>
      <w:pPr>
        <w:pStyle w:val="Heading1"/>
      </w:pPr>
      <w:r>
        <w:t>小机构例外与缺口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未指定Qualified Individual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314.4(a)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无书面风险评估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特定书面义务豁免；一般风险评估仍适用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314.4(b)、(b)(1)、314.6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法定义务适用，注意规则允许的替代条件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314.4(c)(5)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无持续监控或渗透测试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(d)(2)特定测试豁免；(d)(1)一般测试/监测适用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314.4(d)(1)、(d)(2)、314.6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无书面事件应急计划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(h)法定书面计划豁免；自愿建议制定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314.4(h)、314.6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无年度董事会安全报告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(i)特定义务豁免；自愿治理建议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314.4(i)、314.6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云服务合同无安全义务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314.4(f)(1)-(3)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仅通用入职培训，无安全持续更新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314.4(e)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已发生550人通知事件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314.2(m)、314.4(j)、314.5</w:t>
            </w:r>
          </w:p>
        </w:tc>
      </w:tr>
    </w:tbl>
    <w:p>
      <w:pPr>
        <w:pStyle w:val="Heading1"/>
      </w:pPr>
      <w:r>
        <w:t>事件时间与执法请求</w:t>
      </w:r>
    </w:p>
    <w:p>
      <w:r>
        <w:t>314.4(j)(2)使非涉事员工Alex在03-03的知悉归属于机构。03-06管理层、03-07顾问不是新的起算点。发现日之后30个日历日为04-02，仍须as soon as possible。</w:t>
      </w:r>
    </w:p>
    <w:p>
      <w:r>
        <w:t>314.4(j)(1)(vi)涉及执法书面决定和公开延迟：最初可请求在向FTC通知后最多30日，书面申请可再延长最多60日，进一步须FTC工作人员判断。这里仅口头请求，无适格书面材料，也不是对FTC报送的自动暂停。应请警方澄清/书面化，但不以此等待报送。</w:t>
      </w:r>
    </w:p>
    <w:p>
      <w:pPr>
        <w:pStyle w:val="Heading1"/>
      </w:pPr>
      <w:r>
        <w:t>立即行动和内部期限</w:t>
      </w:r>
    </w:p>
    <w:p>
      <w:r>
        <w:t>今天：合规负责人/法务核实550人数、数据及发现时点，组织电子通报审核；安全人员保全日志、收回泄露密钥并限制暴露，记录未完成事项。管理层确认Qualified Individual职责与资源。</w:t>
      </w:r>
    </w:p>
    <w:p>
      <w:r>
        <w:t>7天内：QI核对一般风险评估与有效监测，优先落实MFA、供应商安全义务与针对性培训；补证和实际完成情况写入登记。</w:t>
      </w:r>
    </w:p>
    <w:p>
      <w:r>
        <w:t>30天内：核验改进有效性、复查服务商与剩余风险，建议自愿形成书面响应流程并向高管报告。今天/7天/30天是内部建议，不是法规授权宽限；不能据此推迟FTC尽快报告。</w:t>
      </w:r>
    </w:p>
    <w:p>
      <w:pPr>
        <w:pStyle w:val="Heading1"/>
      </w:pPr>
      <w:r>
        <w:t>边界情景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</w:tcPr>
          <w:p>
            <w:r>
              <w:rPr>
                <w:sz w:val="18"/>
              </w:rPr>
              <w:t>consumers_maintained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exemption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FTC_notice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4800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(b)(1),(d)(2),(h),(i)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其余义务仍适用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不适用fewer than 5000例外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题述四项特定义务也不再豁免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4800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(b)(1),(d)(2),(h),(i)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本假设不达(j)至少500门槛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安全计划和其余义务不因此消失；人数需持续核实</w:t>
            </w:r>
          </w:p>
        </w:tc>
      </w:tr>
    </w:tbl>
    <w:p>
      <w:pPr>
        <w:pStyle w:val="Heading1"/>
      </w:pPr>
      <w:r>
        <w:t>待核实范围</w:t>
      </w:r>
    </w:p>
    <w:p>
      <w:r>
        <w:t>原始机构身份、完整受影响范围、证据保全与正式电子表格细节仍须核实。州法及其他监管/客户通知义务不在所给法律材料确定范围内，需另行核查。不得将本草稿当作完成通知。</w:t>
      </w:r>
    </w:p>
    <w:p>
      <w:pPr>
        <w:pStyle w:val="Heading1"/>
      </w:pPr>
      <w:r>
        <w:t>独立反事实C：导出去重与缺证分支</w:t>
      </w:r>
    </w:p>
    <w:p>
      <w:r>
        <w:t>原案仍是550人，通报草稿未改写。反事实C单独计算：A320、B305、C200，共825条；A/B/C去重600名；A密钥被取得与B明文的并集505人，C中额外95人未被据此算入通知事件。</w:t>
      </w:r>
    </w:p>
    <w:p>
      <w:r>
        <w:t>基准C在03-03已知全部事实，达到500，仍须尽快、最迟2025-04-02；4800人例外不免(j)。</w:t>
      </w:r>
    </w:p>
    <w:p>
      <w:r>
        <w:t>若仅A密钥是否泄露待核实，B明文可确认305人，若A密钥被取则上界505，跨500结论取决于待核证据。立即保全密钥访问、解密及导出证据并升级合规负责人，不把缺证写成已排除或等到管理层复核才重新计时。</w:t>
      </w:r>
    </w:p>
    <w:p>
      <w:r>
        <w:t>截至题设基准日未实际提交或通知，未编造修复完成；这些反事实不替换原案事实或原550人草稿。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