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经营表现诊断报告</w:t>
      </w:r>
    </w:p>
    <w:p>
      <w:pPr>
        <w:jc w:val="center"/>
      </w:pPr>
      <w:r>
        <w:rPr>
          <w:color w:val="4B5563"/>
          <w:sz w:val="22"/>
        </w:rPr>
        <w:t>北新英格兰地区银行样本（ME / NH / VT）｜评估期：2022-03-31 至 2025-06-30</w:t>
      </w:r>
    </w:p>
    <w:p>
      <w:pPr>
        <w:jc w:val="center"/>
      </w:pPr>
      <w:r>
        <w:rPr>
          <w:b/>
          <w:color w:val="B54A4A"/>
          <w:sz w:val="18"/>
        </w:rPr>
        <w:t>内部管理使用｜假设性回顾分析｜非监管评级、投资建议或全国性行业判断</w:t>
      </w:r>
    </w:p>
    <w:p/>
    <w:p>
      <w:pPr>
        <w:pStyle w:val="Heading1"/>
      </w:pPr>
      <w:r>
        <w:t>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资产回报率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非应计资产率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净核销率</w:t>
            </w:r>
          </w:p>
        </w:tc>
        <w:tc>
          <w:tcPr>
            <w:tcW w:type="dxa" w:w="2592"/>
            <w:vAlign w:val="center"/>
            <w:shd w:fill="16324F"/>
          </w:tcPr>
          <w:p>
            <w:r/>
            <w:r>
              <w:rPr>
                <w:b/>
                <w:color w:val="FFFFFF"/>
                <w:sz w:val="16"/>
              </w:rPr>
              <w:t>总风险资本比率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0.762%</w:t>
              <w:br/>
              <w:t>较2024-06：+0.104pp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0.353%</w:t>
              <w:br/>
              <w:t>较2024-06：+0.057pp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0.478%</w:t>
              <w:br/>
              <w:t>较2024-06：+0.089pp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16324F"/>
                <w:sz w:val="20"/>
              </w:rPr>
              <w:t>14.251%</w:t>
              <w:br/>
              <w:t>较2024-06：-0.298pp</w:t>
            </w:r>
          </w:p>
        </w:tc>
      </w:tr>
    </w:tbl>
    <w:p>
      <w:r>
        <w:rPr>
          <w:b/>
        </w:rPr>
        <w:t>总体判断。</w:t>
      </w:r>
      <w:r>
        <w:t>截至2025年6月30日，样本盈利较一年前回升，但信用质量继续转弱、资金结构仍较2022年明显偏紧，报告总风险资本缓冲低于期初。组合并非全面恶化：净息差回升，贷款/存款比自2024年峰值回落，且多数机构未同时触发多维风险信号。然而，信用成本与非应计资产恶化集中于若干机构，并与资本、盈利或增长压力叠加，足以支持定向而非全覆盖式复核。</w:t>
      </w:r>
    </w:p>
    <w:p>
      <w:pPr>
        <w:pStyle w:val="ListBullet"/>
      </w:pPr>
      <w:r>
        <w:t>组合ROA为0.762%，较2024年6月的0.657%改善0.105个百分点，但仍低于2022年3月的0.809%。持续机构自身表现对全期变化贡献−0.180个百分点，资产权重变化抵销约+0.075个百分点。</w:t>
      </w:r>
    </w:p>
    <w:p>
      <w:pPr>
        <w:pStyle w:val="ListBullet"/>
      </w:pPr>
      <w:r>
        <w:t>非应计资产率升至0.353%，较一年前高0.058个百分点、较期初高0.133个百分点；净核销率升至0.478%，同比高0.089个百分点、较期初高0.155个百分点。两项全期恶化主要来自持续机构自身指标变化，而非机构进出。</w:t>
      </w:r>
    </w:p>
    <w:p>
      <w:pPr>
        <w:pStyle w:val="ListBullet"/>
      </w:pPr>
      <w:r>
        <w:t>报告总风险资本比率为14.251%，较期初下降0.948个百分点。该数值仅覆盖37家、约79.0%的样本资产；其余机构的0值按未报告/不适用处理，不能解释为资本为零。</w:t>
      </w:r>
    </w:p>
    <w:p>
      <w:pPr>
        <w:pStyle w:val="ListBullet"/>
      </w:pPr>
      <w:r>
        <w:t>贷款/存款比为93.8%，显著高于期初80.5%，但低于2024年中的95.5%。资金压力已边际缓解，仍有多家机构超过100%。</w:t>
      </w:r>
    </w:p>
    <w:p>
      <w:pPr>
        <w:pStyle w:val="ListBullet"/>
      </w:pPr>
      <w:r>
        <w:t>建议未来90天以“信用质量恶化与盈利/资金/资本缓冲叠加”为主线：立即复核五家Tier 1机构，并对两家Tier 2机构开展盈利与资金韧性复核。</w:t>
      </w:r>
    </w:p>
    <w:p>
      <w:r>
        <w:drawing>
          <wp:inline xmlns:a="http://schemas.openxmlformats.org/drawingml/2006/main" xmlns:pic="http://schemas.openxmlformats.org/drawingml/2006/picture">
            <wp:extent cx="6766560" cy="3201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01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图1｜组合盈利和信用质量。比率为资产或贷款加权/聚合口径；详见模型 Definitions。</w:t>
      </w:r>
    </w:p>
    <w:p>
      <w:pPr>
        <w:pStyle w:val="Heading1"/>
      </w:pPr>
      <w:r>
        <w:t>1. 范围、口径与数据质量</w:t>
      </w:r>
    </w:p>
    <w:p>
      <w:r>
        <w:rPr>
          <w:b/>
        </w:rPr>
        <w:t>样本覆盖。</w:t>
      </w:r>
      <w:r>
        <w:t>财务快照包含54个FDIC证书号、746条机构季度记录及14个季末；各期机构数由51家增至54家后，于2025年降至52家。主键CERT+REPDTE无重复，所供25个财务字段无缺失。期末52家机构资产合计712.7亿美元。</w:t>
      </w:r>
    </w:p>
    <w:p>
      <w:r>
        <w:rPr>
          <w:b/>
        </w:rPr>
        <w:t>机构对应。</w:t>
      </w:r>
      <w:r>
        <w:t>2025年1月，Northway Bank（CERT 14240）并入The Camden National Bank（CERT 4255），Gorham Savings Bank（CERT 17748）并入Maine Community Bank（CERT 17741）。Walden Mutual Bank、Bank of Burlington和Fidelity Personal Trust Company在样本期内进入。模型保留各证书号和期末名称，并单列结构事件，避免把并购增长直接视为有机增长。</w:t>
      </w:r>
    </w:p>
    <w:p>
      <w:r>
        <w:rPr>
          <w:b/>
        </w:rPr>
        <w:t>关键假设。</w:t>
      </w:r>
      <w:r>
        <w:t>ROA按资产加权；非应计资产率=NAASSET/ASSET；净核销率使用FDIC提供的NCLNLSR并按贷款加权；总风险资本比率仅对RBCRWAJ&gt;0者按资产加权。金额字段按FDIC快照惯例视为千美元。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7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重要限制：这是基于所给快照的回顾分析，不是对各历史时点“当时可获得信息”的回测。机构资料快照含2025年6月30日之后的更新，仅用于对应和结构事件核验。</w:t>
            </w:r>
          </w:p>
        </w:tc>
      </w:tr>
    </w:tbl>
    <w:p>
      <w:pPr>
        <w:pStyle w:val="Heading1"/>
      </w:pPr>
      <w:r>
        <w:t>2. 组合经营与风险演变</w:t>
      </w:r>
    </w:p>
    <w:p>
      <w:pPr>
        <w:pStyle w:val="Heading2"/>
      </w:pPr>
      <w:r>
        <w:t>2.1 盈利：边际修复，但基础不均衡</w:t>
      </w:r>
    </w:p>
    <w:p>
      <w:r>
        <w:t>ROA在2024年6月降至0.657%，2025年6月回升至0.762%；净息差同期由2.762%升至3.168%。这支持“资产重定价和/或存款成本压力缓和带来盈利修复”的解释。竞争性解释是一次性项目、并购会计或业务组合变化推动ROA；由于缺少非利息收入、费用和一次性项目明细，不能把改善完全归因于净息差。</w:t>
      </w:r>
    </w:p>
    <w:p>
      <w:pPr>
        <w:pStyle w:val="ListBullet"/>
      </w:pPr>
      <w:r>
        <w:t>支持净息差解释的证据：组合NIM与ROA在2024年中后同向回升。</w:t>
      </w:r>
    </w:p>
    <w:p>
      <w:pPr>
        <w:pStyle w:val="ListBullet"/>
      </w:pPr>
      <w:r>
        <w:t>支持构成效应的证据：Maine Community Bank吸收Gorham后资产同比增长138%，且NIM出现跃升；但全组合ROA归因显示进出样本影响较小。</w:t>
      </w:r>
    </w:p>
    <w:p>
      <w:pPr>
        <w:pStyle w:val="ListBullet"/>
      </w:pPr>
      <w:r>
        <w:t>仍需验证：存款beta、定期存款重定价、证券现金流再投资、对冲、费用控制和一次性收益。</w:t>
      </w:r>
    </w:p>
    <w:p>
      <w:r>
        <w:t>持续落后机构包括Salem Co-operative Bank（连续六季负ROA，2Q25为−0.306%）、Bar Harbor S&amp;L（2Q25约0.002%）、Saco &amp; Biddeford（0.067%）以及First Seacoast和Piscataqua（均为负）。后两家当前信用指标较低，故列入监测而非首轮信用复核。</w:t>
      </w:r>
    </w:p>
    <w:p>
      <w:pPr>
        <w:pStyle w:val="Heading2"/>
      </w:pPr>
      <w:r>
        <w:t>2.2 信用质量：恶化具有机构内生性和集中性</w:t>
      </w:r>
    </w:p>
    <w:p>
      <w:r>
        <w:t>非应计资产率和净核销率均在2Q25升至样本高位。全期归因中，持续机构自身指标变化分别贡献+0.118和+0.134个百分点，是总恶化的主要部分；权重变化分别再贡献+0.030和+0.041个百分点。由此可排除“仅由新机构加入造成”的简单解释，但不能证明宏观环境或管理行为的因果关系。</w:t>
      </w:r>
    </w:p>
    <w:p>
      <w:pPr>
        <w:pStyle w:val="ListBullet"/>
      </w:pPr>
      <w:r>
        <w:t>Bangor Savings Bank：NPA由2024年6月0.061%升至2025年6月0.458%，NCO由0.083%升至0.661%；资产占样本10.3%，因此材料性高。</w:t>
      </w:r>
    </w:p>
    <w:p>
      <w:pPr>
        <w:pStyle w:val="ListBullet"/>
      </w:pPr>
      <w:r>
        <w:t>Union Bank：NPA由0.134%骤升至1.027%，NCO由0.186%升至1.370%，变化集中在2025年一季度以后。</w:t>
      </w:r>
    </w:p>
    <w:p>
      <w:pPr>
        <w:pStyle w:val="ListBullet"/>
      </w:pPr>
      <w:r>
        <w:t>Walden Mutual：NPA 1.942%、NCO 2.669%，虽较2024年高点改善，仍处高位并伴随快速增长和亏损。</w:t>
      </w:r>
    </w:p>
    <w:p>
      <w:pPr>
        <w:pStyle w:val="ListBullet"/>
      </w:pPr>
      <w:r>
        <w:t>First Federal S&amp;L of Bath与Bar Harbor S&amp;L：信用指标高位持续，且房地产贷款占比约98%–100%。</w:t>
      </w:r>
    </w:p>
    <w:p>
      <w:pPr>
        <w:pStyle w:val="ListBullet"/>
      </w:pPr>
      <w:r>
        <w:t>Primary Bank：NCO升至2.229%，但ROA 1.557%、资本比率16.781%；更像需验证的单点信用事件，暂列强化监测。</w:t>
      </w:r>
    </w:p>
    <w:p>
      <w:r>
        <w:t>竞争性解释包括：少数大额关系暴露迁移、房地产相关借款人压力、组合调味后损失显现、核销时点或收购资产重分类。公开聚合数据无法区分这些解释；需通过迁移矩阵、前20大问题贷款、核销明细和抵押物重估验证。</w:t>
      </w:r>
    </w:p>
    <w:p>
      <w:pPr>
        <w:pStyle w:val="Heading2"/>
      </w:pPr>
      <w:r>
        <w:t>2.3 资本承受力：总体仍有缓冲，但覆盖不完整且分化明显</w:t>
      </w:r>
    </w:p>
    <w:p>
      <w:r>
        <w:t>报告者加权总风险资本比率由15.199%降至14.251%。持续报告机构自身变化贡献−1.121个百分点，权重和构成效应部分抵销。Bangor 11.149%和Union 12.623%并非自动意味着资本不足，但在信用恶化背景下缓冲更值得检验；两者权益/资产分别仅6.375%和5.848%。Walden无可用RBC，权益/资产则从2024年3月20.1%降至10.8%，显示快速扩张和亏损消耗会计资本比率。</w:t>
      </w:r>
    </w:p>
    <w:p>
      <w:r>
        <w:t>竞争性解释包括资产增长、风险权重变化、累积其他综合收益、并购会计和利润留存。模型没有风险加权资产、OCI或资本行动明细，因此应采用压力测试而非凭单一比率下结论。</w:t>
      </w:r>
    </w:p>
    <w:p>
      <w:r>
        <w:drawing>
          <wp:inline xmlns:a="http://schemas.openxmlformats.org/drawingml/2006/main" xmlns:pic="http://schemas.openxmlformats.org/drawingml/2006/picture">
            <wp:extent cx="6766560" cy="3205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_fu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0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图2｜报告资本与资金压力。RBC仅含报告者；贷款/存款比不等同于监管流动性指标。</w:t>
      </w:r>
    </w:p>
    <w:p>
      <w:pPr>
        <w:pStyle w:val="Heading2"/>
      </w:pPr>
      <w:r>
        <w:t>2.4 资金、增长与贷款结构：压力边际缓和，尾部仍突出</w:t>
      </w:r>
    </w:p>
    <w:p>
      <w:r>
        <w:t>组合贷款/存款比从80.5%升至93.8%，显示贷款扩张相对存款基础更快；但较2024年6月95.5%有所改善。Salem 120.7%、Bar Harbor S&amp;L 117.4%、Saco &amp; Biddeford 112.9%、First Federal Bath 103.8%和Merrimack County 103.1%处于较高水平。高比率并不等同于流动性不足，若有稳定批发资金、可用抵押借款能力或高质量流动资产，风险可被缓释；这些信息未在快照中提供。</w:t>
      </w:r>
    </w:p>
    <w:p>
      <w:r>
        <w:t>房地产贷款占比在多家互助/储蓄机构超过90%。这是业务模式特征，不应机械判为不良；但若与低利润、高贷款/存款比和信用恶化叠加，则会削弱应对区域性房地产或利率冲击的选择空间。Walden的快速增长与较低房地产占比形成不同风险模式，重点应是增长治理、承保一致性和资金可持续性。</w:t>
      </w:r>
    </w:p>
    <w:p>
      <w:pPr>
        <w:pStyle w:val="Heading1"/>
      </w:pPr>
      <w:r>
        <w:t>3. 同类比较与持续落后机构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层级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机构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资产$000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ROA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NPA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NCO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RBC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EQ/A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L/D</w:t>
            </w:r>
          </w:p>
        </w:tc>
        <w:tc>
          <w:tcPr>
            <w:tcW w:type="dxa" w:w="1037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RE占比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BAR HARBOR SAVINGS AND LOAN ASSOCIATION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98,909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0.00%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1.37%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1.57%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12.02%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117.4%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99.8%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FIRST FEDERAL SAVINGS AND LOAN ASSOCIATION OF BATH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185,573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0.23%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1.67%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2.11%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27.17%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14.90%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103.8%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97.8%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UNION BANK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1,479,452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0.70%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1.03%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1.37%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12.62%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5.85%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99.8%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92.6%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WALDEN MUTUAL BANK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145,991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-0.24%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1.94%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2.67%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10.75%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81.7%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36.2%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BANGOR SAVINGS BANK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7,335,916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0.11%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0.46%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0.66%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11.15%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6.37%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85.1%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90.1%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SALEM CO-OPERATIVE BANK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571,650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-0.31%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0.36%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0.43%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18.96%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10.87%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120.7%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89.4%</w:t>
            </w:r>
          </w:p>
        </w:tc>
      </w:tr>
      <w:tr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Tier 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SACO &amp; BIDDEFORD SAVINGS INSTITUTION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1,439,697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0.07%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0.03%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0.04%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—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8.79%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112.9%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b w:val="0"/>
                <w:sz w:val="13"/>
              </w:rPr>
              <w:t>96.3%</w:t>
            </w:r>
          </w:p>
        </w:tc>
      </w:tr>
    </w:tbl>
    <w:p>
      <w:r>
        <w:t>模型同类组采用“州别×期末资产三分位”，以降低规模和区域差异。该方法仍无法完全控制互助组织、专业银行和商业银行的业务模式差异；因此优先名单要求多维信号、趋势和材料性共同支持。</w:t>
      </w:r>
    </w:p>
    <w:p>
      <w:pPr>
        <w:pStyle w:val="Heading1"/>
      </w:pPr>
      <w:r>
        <w:t>4. 组合变化归因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指标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期初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期末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总变化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机构表现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权重变化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交互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期初构成桥</w:t>
            </w:r>
          </w:p>
        </w:tc>
        <w:tc>
          <w:tcPr>
            <w:tcW w:type="dxa" w:w="1152"/>
            <w:vAlign w:val="center"/>
            <w:shd w:fill="16324F"/>
          </w:tcPr>
          <w:p>
            <w:r/>
            <w:r>
              <w:rPr>
                <w:b/>
                <w:color w:val="FFFFFF"/>
                <w:sz w:val="13"/>
              </w:rPr>
              <w:t>期末构成桥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ROA (%)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0.8091772381818029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0.7617103547368322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-0.047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-0.180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+0.075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+0.046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+0.024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Nonaccrual assets / assets (%)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0.21979375489140182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0.35297009508363375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+0.133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+0.118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+0.030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+0.002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Net charge-offs / gross loans (%)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0.32343055222508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0.4780848762281273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+0.155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+0.134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+0.041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+0.003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Total risk-based capital (%)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15.199083606857197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14.251468150579914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-0.948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-1.121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+0.272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-0.248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-0.013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3"/>
              </w:rPr>
              <w:t>+0.162</w:t>
            </w:r>
          </w:p>
        </w:tc>
      </w:tr>
    </w:tbl>
    <w:p>
      <w:r>
        <w:t>结论：信用恶化和报告资本下降主要是持续机构本身的比率变化；样本构成不是主因。ROA则更复杂：持续机构表现较差，但权重转向相对高ROA机构以及进出样本部分抵销。归因是恒等式分解，不能识别利率、宏观经济或管理决策的因果效应。</w:t>
      </w:r>
    </w:p>
    <w:p>
      <w:pPr>
        <w:pStyle w:val="Heading1"/>
      </w:pPr>
      <w:r>
        <w:t>5. 管理层行动建议</w:t>
      </w:r>
    </w:p>
    <w:p>
      <w:pPr>
        <w:pStyle w:val="Heading2"/>
      </w:pPr>
      <w:r>
        <w:t>推荐优先方案：分层、证据门槛驱动的90天复核</w:t>
      </w:r>
    </w:p>
    <w:p>
      <w:pPr>
        <w:pStyle w:val="ListBullet"/>
      </w:pPr>
      <w:r>
        <w:t>0–15天：向五家Tier 1机构发出标准化资料请求；锁定信用迁移、非应计/核销来源、资本压力情景、资金集中度和董事会风险限额。</w:t>
      </w:r>
    </w:p>
    <w:p>
      <w:pPr>
        <w:pStyle w:val="ListBullet"/>
      </w:pPr>
      <w:r>
        <w:t>15–45天：对Bangor、Union、Walden实施管理层深访和交易级抽样；对两家高信用/高房地产集中度小型机构开展抵押物、延期与ACL专题抽样。</w:t>
      </w:r>
    </w:p>
    <w:p>
      <w:pPr>
        <w:pStyle w:val="ListBullet"/>
      </w:pPr>
      <w:r>
        <w:t>30–60天：对Salem和Saco &amp; Biddeford开展盈利与资金韧性复核；若出现存款流失、批发融资依赖或风险评级迁移，再升级至Tier 1。</w:t>
      </w:r>
    </w:p>
    <w:p>
      <w:pPr>
        <w:pStyle w:val="ListBullet"/>
      </w:pPr>
      <w:r>
        <w:t>45–75天：运行统一压力测试：信用损失、存款流失/再定价、抵押品折价及资本消耗；要求各机构提供董事会认可的纠偏阈值。</w:t>
      </w:r>
    </w:p>
    <w:p>
      <w:pPr>
        <w:pStyle w:val="ListBullet"/>
      </w:pPr>
      <w:r>
        <w:t>75–90天：形成逐家关闭/延长/升级决定；将Primary Bank、First Seacoast、Piscataqua和Merrimack County纳入月度预警观察。</w:t>
      </w:r>
    </w:p>
    <w:p>
      <w:pPr>
        <w:pStyle w:val="Heading2"/>
      </w:pPr>
      <w:r>
        <w:t>组合层面改进</w:t>
      </w:r>
    </w:p>
    <w:p>
      <w:pPr>
        <w:pStyle w:val="ListBullet"/>
      </w:pPr>
      <w:r>
        <w:t>建立按CERT固定样本、全样本和并购调整样本三套趋势，防止并表掩盖有机变化。</w:t>
      </w:r>
    </w:p>
    <w:p>
      <w:pPr>
        <w:pStyle w:val="ListBullet"/>
      </w:pPr>
      <w:r>
        <w:t>月度收集风险评级迁移、30–89/90+逾期、非应计、核销/回收、延期、ACL覆盖、前20大暴露和CRE细分。</w:t>
      </w:r>
    </w:p>
    <w:p>
      <w:pPr>
        <w:pStyle w:val="ListBullet"/>
      </w:pPr>
      <w:r>
        <w:t>补齐资金仪表盘：前20大存款、未保险存款、经纪/互联网存款、到期墙、存款beta、抵押借款能力和未质押证券。</w:t>
      </w:r>
    </w:p>
    <w:p>
      <w:pPr>
        <w:pStyle w:val="ListBullet"/>
      </w:pPr>
      <w:r>
        <w:t>建立“预警—升级—退出”门槛：连续两个季度多维恶化或单季材料性跳升触发管理层复核；改善需至少两个季度验证。</w:t>
      </w:r>
    </w:p>
    <w:p>
      <w:pPr>
        <w:pStyle w:val="Heading1"/>
      </w:pPr>
      <w:r>
        <w:t>6. 假设与限制</w:t>
      </w:r>
    </w:p>
    <w:p>
      <w:pPr>
        <w:pStyle w:val="ListBullet"/>
      </w:pPr>
      <w:r>
        <w:t>This is a hypothetical, retrospective review of a provided public-data snapshot, not a real-time backtest of what was known on each historical date.</w:t>
      </w:r>
    </w:p>
    <w:p>
      <w:pPr>
        <w:pStyle w:val="ListBullet"/>
      </w:pPr>
      <w:r>
        <w:t>Sample is headquarters-based in Maine, New Hampshire and Vermont; findings must not be generalized to the United States banking industry.</w:t>
      </w:r>
    </w:p>
    <w:p>
      <w:pPr>
        <w:pStyle w:val="ListBullet"/>
      </w:pPr>
      <w:r>
        <w:t>Quarterly public ratios can be affected by annualization, seasonality, mergers, accounting elections, denominator changes and one-time items.</w:t>
      </w:r>
    </w:p>
    <w:p>
      <w:pPr>
        <w:pStyle w:val="ListBullet"/>
      </w:pPr>
      <w:r>
        <w:t>No borrower-level files, risk grades, criticized/classified balances, ACL vintage analysis, CRE subsegments, collateral values, deposit concentrations, borrowing capacity, securities duration or stress tests were supplied.</w:t>
      </w:r>
    </w:p>
    <w:p>
      <w:pPr>
        <w:pStyle w:val="ListBullet"/>
      </w:pPr>
      <w:r>
        <w:t>Correlation and timing support hypotheses, not causation. Management records and loan/deposit tapes are required to test explanations.</w:t>
      </w:r>
    </w:p>
    <w:p>
      <w:pPr>
        <w:pStyle w:val="ListBullet"/>
      </w:pPr>
      <w:r>
        <w:t>Institution entry/exit and asset-weight changes alter portfolio aggregates. The attribution tab provides a mechanical bridge, not a causal decomposition.</w:t>
      </w:r>
    </w:p>
    <w:p>
      <w:pPr>
        <w:pStyle w:val="ListBullet"/>
      </w:pPr>
      <w:r>
        <w:t>RBC zeros are excluded as missing/not applicable. Portfolio RBC coverage is therefore incomplete and changes through time.</w:t>
      </w:r>
    </w:p>
    <w:p>
      <w:pPr>
        <w:pStyle w:val="ListBullet"/>
      </w:pPr>
      <w:r>
        <w:t>The priority score is sample-relative and sensitive to chosen weights; it is a triage tool, not a probability of default or regulatory rating.</w:t>
      </w:r>
    </w:p>
    <w:p>
      <w:r>
        <w:rPr>
          <w:b/>
        </w:rPr>
        <w:t>监管资料使用。</w:t>
      </w:r>
      <w:r>
        <w:t>FDIC《RMS Manual §3.2 Loans》支持按业务模式、集中度、快速增长、评级治理和问题资产趋势进行风险导向抽样；OCC《Rating Credit Risk》支持审视评级体系、控制、还款来源和信用风险缓释。所供FDIC手册版本晚于分析期，仅作为复核框架，不作为当时状况证据，也不据此赋予监管评级。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Internal management use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北新英格兰地区银行组合评估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2F669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3A7D7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