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优先跟进简报</w:t>
      </w:r>
    </w:p>
    <w:p>
      <w:pPr>
        <w:jc w:val="center"/>
      </w:pPr>
      <w:r>
        <w:rPr>
          <w:color w:val="4B5563"/>
          <w:sz w:val="22"/>
        </w:rPr>
        <w:t>未来90天管理安排｜基于截至2025-06-30的公开财务快照</w:t>
      </w:r>
    </w:p>
    <w:p>
      <w:pPr>
        <w:jc w:val="center"/>
      </w:pPr>
      <w:r>
        <w:rPr>
          <w:b/>
          <w:color w:val="B54A4A"/>
          <w:sz w:val="18"/>
        </w:rPr>
        <w:t>内部管理使用｜假设性回顾分析｜非监管评级、投资建议或全国性行业判断</w:t>
      </w:r>
    </w:p>
    <w:p/>
    <w:p>
      <w:pPr>
        <w:pStyle w:val="Heading1"/>
      </w:pPr>
      <w:r>
        <w:t>组合基线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资产回报率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非应计资产率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净核销率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总风险资本比率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0.762%</w:t>
              <w:br/>
              <w:t>较2024-06：+0.104pp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0.353%</w:t>
              <w:br/>
              <w:t>较2024-06：+0.057pp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0.478%</w:t>
              <w:br/>
              <w:t>较2024-06：+0.089pp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14.251%</w:t>
              <w:br/>
              <w:t>较2024-06：-0.298pp</w:t>
            </w:r>
          </w:p>
        </w:tc>
      </w:tr>
    </w:tbl>
    <w:p>
      <w:pPr>
        <w:pStyle w:val="Heading1"/>
      </w:pPr>
      <w:r>
        <w:t>决策请求</w:t>
      </w:r>
    </w:p>
    <w:p>
      <w:r>
        <w:rPr>
          <w:b/>
        </w:rPr>
        <w:t>批准一个分层跟进范围：</w:t>
      </w:r>
      <w:r>
        <w:t>以“信用质量恶化与盈利、资金或资本缓冲叠加”为统一主题，对5家Tier 1机构立即开展定向复核，对2家Tier 2机构开展盈利/资金韧性复核。该范围覆盖样本资产约15.8%，兼顾大机构材料性、小机构高风险密度和新设机构快速增长。</w:t>
      </w:r>
    </w:p>
    <w:p>
      <w:r>
        <w:drawing>
          <wp:inline xmlns:a="http://schemas.openxmlformats.org/drawingml/2006/main" xmlns:pic="http://schemas.openxmlformats.org/drawingml/2006/picture">
            <wp:extent cx="6675120" cy="3232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325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7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评分是样本内相对筛查工具。进入范围不表示监管不合格或必然损失；未进入也不表示无风险。RBC为0按未报告/不适用处理。</w:t>
            </w:r>
          </w:p>
        </w:tc>
      </w:tr>
    </w:tbl>
    <w:p>
      <w:pPr>
        <w:pStyle w:val="Heading1"/>
      </w:pPr>
      <w:r>
        <w:t>选择规则与证据门槛</w:t>
      </w:r>
    </w:p>
    <w:p>
      <w:pPr>
        <w:pStyle w:val="ListBullet"/>
      </w:pPr>
      <w:r>
        <w:t>Tier 1：信用质量发生材料性跳升，且资本/材料性较高；或持续高信用压力与集中度/资金压力叠加；或快速增长、亏损与信用压力叠加。</w:t>
      </w:r>
    </w:p>
    <w:p>
      <w:pPr>
        <w:pStyle w:val="ListBullet"/>
      </w:pPr>
      <w:r>
        <w:t>Tier 2：信用尚温和，但持续低/负盈利与高贷款/存款比、集中度叠加，可能削弱未来吸收损失能力。</w:t>
      </w:r>
    </w:p>
    <w:p>
      <w:pPr>
        <w:pStyle w:val="ListBullet"/>
      </w:pPr>
      <w:r>
        <w:t>监测名单：出现单一新信号但当前盈利或资本缓冲较强，或盈利较弱但信用与资金指标尚未共同触发。</w:t>
      </w:r>
    </w:p>
    <w:p>
      <w:pPr>
        <w:pStyle w:val="Heading1"/>
      </w:pPr>
      <w:r>
        <w:t>逐家跟进</w:t>
      </w:r>
    </w:p>
    <w:p>
      <w:pPr>
        <w:pStyle w:val="Heading2"/>
      </w:pPr>
      <w:r>
        <w:t>Tier 1｜BAR HARBOR SAVINGS AND LOAN ASSOCIATION（CERT 30878）</w:t>
      </w:r>
    </w:p>
    <w:p>
      <w:r>
        <w:rPr>
          <w:b/>
        </w:rPr>
        <w:t>关注理由：</w:t>
      </w:r>
      <w:r>
        <w:t>NPA 1.374%、NCO 1.573%持续高位；ROA接近零、NIM仅1.492%；L/D 117.4%，房地产贷款占比99.8%。多维压力虽较2024年峰值略有改善，但缺乏充分盈利吸收能力。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非应计与核销是否集中于住宅、商业地产或少数关系户？</w:t>
      </w:r>
    </w:p>
    <w:p>
      <w:pPr>
        <w:pStyle w:val="ListBullet"/>
      </w:pPr>
      <w:r>
        <w:t>高L/D由稳定核心存款减少还是贷款结构刚性造成？替代融资成本和期限如何？</w:t>
      </w:r>
    </w:p>
    <w:p>
      <w:pPr>
        <w:pStyle w:val="ListBullet"/>
      </w:pPr>
      <w:r>
        <w:t>低NIM是资产久期、存款成本还是小规模费用结构所致？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逐笔问题贷款、抵押品估值、延期和核销；最近独立贷款复核</w:t>
      </w:r>
    </w:p>
    <w:p>
      <w:pPr>
        <w:pStyle w:val="ListBullet"/>
      </w:pPr>
      <w:r>
        <w:t>存款流失/定价、批发融资、到期墙、可抵押资产和流动性压力测试</w:t>
      </w:r>
    </w:p>
    <w:p>
      <w:pPr>
        <w:pStyle w:val="ListBullet"/>
      </w:pPr>
      <w:r>
        <w:t>利率风险/EVE/NII模拟、资产重定价期限及盈利改善计划</w:t>
      </w:r>
    </w:p>
    <w:p>
      <w:r>
        <w:rPr>
          <w:b/>
        </w:rPr>
        <w:t>建议行动：</w:t>
      </w:r>
      <w:r>
        <w:t>开展信用—资金联合复核；要求60天内提交含量化门槛的盈利和资金纠偏计划，并验证ACL与抵押品折价。</w:t>
      </w:r>
    </w:p>
    <w:p>
      <w:r>
        <w:rPr>
          <w:b/>
        </w:rPr>
        <w:t>后续监测：</w:t>
      </w:r>
      <w:r>
        <w:t>月度NPA/NCO、净息差、L/D、存款净流量、融资成本和未质押流动资产。</w:t>
      </w:r>
    </w:p>
    <w:p>
      <w:pPr>
        <w:pStyle w:val="Heading2"/>
      </w:pPr>
      <w:r>
        <w:t>Tier 1｜FIRST FEDERAL SAVINGS AND LOAN ASSOCIATION OF BATH（CERT 29636）</w:t>
      </w:r>
    </w:p>
    <w:p>
      <w:r>
        <w:rPr>
          <w:b/>
        </w:rPr>
        <w:t>关注理由：</w:t>
      </w:r>
      <w:r>
        <w:t>NPA 1.666%、NCO 2.111%长期高位；L/D升至103.8%，房地产贷款占比97.8%。资本比率较强（RBC 27.17%、EQ/A 14.90%），因此重点是资产质量与处置，而非即时资本不足。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高NCO为何持续？回收率和处置周期是否恶化？</w:t>
      </w:r>
    </w:p>
    <w:p>
      <w:pPr>
        <w:pStyle w:val="ListBullet"/>
      </w:pPr>
      <w:r>
        <w:t>问题贷款是否集中于特定物业、地区或贷款批次？</w:t>
      </w:r>
    </w:p>
    <w:p>
      <w:pPr>
        <w:pStyle w:val="ListBullet"/>
      </w:pPr>
      <w:r>
        <w:t>较强资本是否足以覆盖合理抵押物折价和迁移情景？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三年核销/回收及非应计迁移；逐笔抵押品、LTV和估值日期</w:t>
      </w:r>
    </w:p>
    <w:p>
      <w:pPr>
        <w:pStyle w:val="ListBullet"/>
      </w:pPr>
      <w:r>
        <w:t>CRE/住宅细分、地域和关系集中度；风险评级覆盖</w:t>
      </w:r>
    </w:p>
    <w:p>
      <w:pPr>
        <w:pStyle w:val="ListBullet"/>
      </w:pPr>
      <w:r>
        <w:t>ACL覆盖与压力损失；存款和借款结构</w:t>
      </w:r>
    </w:p>
    <w:p>
      <w:r>
        <w:rPr>
          <w:b/>
        </w:rPr>
        <w:t>建议行动：</w:t>
      </w:r>
      <w:r>
        <w:t>进行资产质量深挖并以强资本作为缓冲，不建议仅因高资本而降级关注；60天内完成处置策略和回收基准复核。</w:t>
      </w:r>
    </w:p>
    <w:p>
      <w:r>
        <w:rPr>
          <w:b/>
        </w:rPr>
        <w:t>后续监测：</w:t>
      </w:r>
      <w:r>
        <w:t>季度NPA/NCO/回收、处置周期、LTV重估、ACL覆盖和L/D。</w:t>
      </w:r>
    </w:p>
    <w:p>
      <w:pPr>
        <w:pStyle w:val="Heading2"/>
      </w:pPr>
      <w:r>
        <w:t>Tier 1｜UNION BANK（CERT 14158）</w:t>
      </w:r>
    </w:p>
    <w:p>
      <w:r>
        <w:rPr>
          <w:b/>
        </w:rPr>
        <w:t>关注理由：</w:t>
      </w:r>
      <w:r>
        <w:t>NPA从2024年6月0.134%升至1.027%，NCO从0.186%升至1.370%，变化集中在2025年上半年；EQ/A仅5.848%，RBC 12.623%，且房地产贷款占比92.6%。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2025年一季度发生了哪些信用事件？NPA与NCO是否来自同一关系户？</w:t>
      </w:r>
    </w:p>
    <w:p>
      <w:pPr>
        <w:pStyle w:val="ListBullet"/>
      </w:pPr>
      <w:r>
        <w:t>低EQ/A是否受证券未实现损失、组织结构或并购影响？</w:t>
      </w:r>
    </w:p>
    <w:p>
      <w:pPr>
        <w:pStyle w:val="ListBullet"/>
      </w:pPr>
      <w:r>
        <w:t>房地产占比变化是否为分类/并表效应，抵押物重估是否及时？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逐笔新增非应计、核销与回收；前20大关系暴露及担保/抵押品覆盖</w:t>
      </w:r>
    </w:p>
    <w:p>
      <w:pPr>
        <w:pStyle w:val="ListBullet"/>
      </w:pPr>
      <w:r>
        <w:t>风险评级覆盖率、最近独立贷款复核、延期/TDR或修改贷款清单</w:t>
      </w:r>
    </w:p>
    <w:p>
      <w:pPr>
        <w:pStyle w:val="ListBullet"/>
      </w:pPr>
      <w:r>
        <w:t>资本组成、RWA、OCI、股利/资本行动；CRE和住宅细分</w:t>
      </w:r>
    </w:p>
    <w:p>
      <w:r>
        <w:rPr>
          <w:b/>
        </w:rPr>
        <w:t>建议行动：</w:t>
      </w:r>
      <w:r>
        <w:t>列为首批现场/远程深访。两周内验证信用跳升是否集中、可回收及已充分拨备；同步运行资本压力情景。</w:t>
      </w:r>
    </w:p>
    <w:p>
      <w:r>
        <w:rPr>
          <w:b/>
        </w:rPr>
        <w:t>后续监测：</w:t>
      </w:r>
      <w:r>
        <w:t>每月NPA/NCO、逾期迁移、抵押品折价、ACL覆盖、EQ/A与RBC。</w:t>
      </w:r>
    </w:p>
    <w:p>
      <w:pPr>
        <w:pStyle w:val="Heading2"/>
      </w:pPr>
      <w:r>
        <w:t>Tier 1｜WALDEN MUTUAL BANK（CERT 59289）</w:t>
      </w:r>
    </w:p>
    <w:p>
      <w:r>
        <w:rPr>
          <w:b/>
        </w:rPr>
        <w:t>关注理由：</w:t>
      </w:r>
      <w:r>
        <w:t>新设机构仍处扩张期：资产同比增长37.8%，ROA −0.240%，NPA 1.942%、NCO 2.669%；EQ/A由2024年3月20.1%降至10.8%。RBC字段不可用，需直接索取资本资料。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增长来自何种产品、地区、渠道和风险层级？承保标准是否随增长放宽？</w:t>
      </w:r>
    </w:p>
    <w:p>
      <w:pPr>
        <w:pStyle w:val="ListBullet"/>
      </w:pPr>
      <w:r>
        <w:t>高核销是否来自试错期组合、单一事件或收购/合作渠道？</w:t>
      </w:r>
    </w:p>
    <w:p>
      <w:pPr>
        <w:pStyle w:val="ListBullet"/>
      </w:pPr>
      <w:r>
        <w:t>在继续增长、亏损和存款压力下，资本与流动性跑道多长？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月度放款批次、渠道、风险等级、定价及早期拖欠；例外审批清单</w:t>
      </w:r>
    </w:p>
    <w:p>
      <w:pPr>
        <w:pStyle w:val="ListBullet"/>
      </w:pPr>
      <w:r>
        <w:t>完整资本计算、资本筹集计划、预算与现金消耗情景</w:t>
      </w:r>
    </w:p>
    <w:p>
      <w:pPr>
        <w:pStyle w:val="ListBullet"/>
      </w:pPr>
      <w:r>
        <w:t>存款来源、前20大存款、未保险/高成本资金、借款额度和应急计划</w:t>
      </w:r>
    </w:p>
    <w:p>
      <w:r>
        <w:rPr>
          <w:b/>
        </w:rPr>
        <w:t>建议行动：</w:t>
      </w:r>
      <w:r>
        <w:t>对增长治理开展45天专题复核；在证据确认前，建议管理层评估降低高风险增长和例外审批额度，而非机械停止全部增长。</w:t>
      </w:r>
    </w:p>
    <w:p>
      <w:r>
        <w:rPr>
          <w:b/>
        </w:rPr>
        <w:t>后续监测：</w:t>
      </w:r>
      <w:r>
        <w:t>月度增长、首期/早期拖欠、NPA/NCO、净亏损、EQ/A、流动性跑道和资本筹集里程碑。</w:t>
      </w:r>
    </w:p>
    <w:p>
      <w:pPr>
        <w:pStyle w:val="Heading2"/>
      </w:pPr>
      <w:r>
        <w:t>Tier 1｜BANGOR SAVINGS BANK（CERT 18408）</w:t>
      </w:r>
    </w:p>
    <w:p>
      <w:r>
        <w:rPr>
          <w:b/>
        </w:rPr>
        <w:t>关注理由：</w:t>
      </w:r>
      <w:r>
        <w:t>样本最大风险暴露之一（资产73.36亿美元，占样本10.3%）。2Q25 NPA 0.458%、NCO 0.661%，均较一年前明显上升；RBC 11.149%、EQ/A 6.375%，使信用恶化具有较高组合材料性。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恶化由多少个借款人/行业/地区驱动？是否存在单一大额核销或收购资产重分类？</w:t>
      </w:r>
    </w:p>
    <w:p>
      <w:pPr>
        <w:pStyle w:val="ListBullet"/>
      </w:pPr>
      <w:r>
        <w:t>风险评级迁移是否早于非应计确认？内部贷款复核曾否识别延迟降级？</w:t>
      </w:r>
    </w:p>
    <w:p>
      <w:pPr>
        <w:pStyle w:val="ListBullet"/>
      </w:pPr>
      <w:r>
        <w:t>基准与压力情景下，信用损失、收益和资本最低点是多少？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风险等级迁移矩阵；前20大非应计/核销清单；CRE/住宅/商业细分及地域集中度</w:t>
      </w:r>
    </w:p>
    <w:p>
      <w:pPr>
        <w:pStyle w:val="ListBullet"/>
      </w:pPr>
      <w:r>
        <w:t>ACL方法、定性调整、核销与回收明细；董事会信用包</w:t>
      </w:r>
    </w:p>
    <w:p>
      <w:pPr>
        <w:pStyle w:val="ListBullet"/>
      </w:pPr>
      <w:r>
        <w:t>资本计划、RWA桥、OCI及两年压力测试；存款集中度和应急融资能力</w:t>
      </w:r>
    </w:p>
    <w:p>
      <w:r>
        <w:rPr>
          <w:b/>
        </w:rPr>
        <w:t>建议行动：</w:t>
      </w:r>
      <w:r>
        <w:t>30天内完成高材料性信用专题复核；抽样覆盖新增非应计、主要核销及评级迁移。若问题集中且抵押覆盖充分，可转为季度监测；若评级滞后或压力资本接近内部限额，要求纠偏计划。</w:t>
      </w:r>
    </w:p>
    <w:p>
      <w:r>
        <w:rPr>
          <w:b/>
        </w:rPr>
        <w:t>后续监测：</w:t>
      </w:r>
      <w:r>
        <w:t>月度新增非应计、NCO/回收、风险等级迁移、ACL覆盖、RBC和EQ/A。</w:t>
      </w:r>
    </w:p>
    <w:p>
      <w:pPr>
        <w:pStyle w:val="Heading2"/>
      </w:pPr>
      <w:r>
        <w:t>Tier 2｜SALEM CO-OPERATIVE BANK（CERT 27824）</w:t>
      </w:r>
    </w:p>
    <w:p>
      <w:r>
        <w:rPr>
          <w:b/>
        </w:rPr>
        <w:t>关注理由：</w:t>
      </w:r>
      <w:r>
        <w:t>ROA连续六季为负，2Q25为−0.306%；NIM仅1.916%，L/D 120.7%为样本最高，房地产贷款占比89.4%。当前NPA 0.360%和NCO 0.434%尚未显示极端信用损失，但盈利与资金缓冲偏弱。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亏损主要来自资金成本、资产久期还是费用结构？</w:t>
      </w:r>
    </w:p>
    <w:p>
      <w:pPr>
        <w:pStyle w:val="ListBullet"/>
      </w:pPr>
      <w:r>
        <w:t>高L/D是否由稳定批发资金支持，压力下可用容量如何？</w:t>
      </w:r>
    </w:p>
    <w:p>
      <w:pPr>
        <w:pStyle w:val="ListBullet"/>
      </w:pPr>
      <w:r>
        <w:t>若信用成本回到样本高位，资本和盈利可承受多久？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NII/EVE模拟、存款beta和到期重定价；费用桥和盈利计划</w:t>
      </w:r>
    </w:p>
    <w:p>
      <w:pPr>
        <w:pStyle w:val="ListBullet"/>
      </w:pPr>
      <w:r>
        <w:t>大额/未保险/经纪存款、借款到期墙、抵押能力和应急融资测试</w:t>
      </w:r>
    </w:p>
    <w:p>
      <w:pPr>
        <w:pStyle w:val="ListBullet"/>
      </w:pPr>
      <w:r>
        <w:t>信用迁移与压力损失情景</w:t>
      </w:r>
    </w:p>
    <w:p>
      <w:r>
        <w:rPr>
          <w:b/>
        </w:rPr>
        <w:t>建议行动：</w:t>
      </w:r>
      <w:r>
        <w:t>Tier 2盈利—资金韧性复核；45天内提交可量化的NIM、资金和费用改善路径。若存款集中或压力流动性不足，升级Tier 1。</w:t>
      </w:r>
    </w:p>
    <w:p>
      <w:r>
        <w:rPr>
          <w:b/>
        </w:rPr>
        <w:t>后续监测：</w:t>
      </w:r>
      <w:r>
        <w:t>月度NIM、存款净流量与成本、L/D、批发融资占比、ROA和资本。</w:t>
      </w:r>
    </w:p>
    <w:p>
      <w:pPr>
        <w:pStyle w:val="Heading2"/>
      </w:pPr>
      <w:r>
        <w:t>Tier 2｜SACO &amp; BIDDEFORD SAVINGS INSTITUTION（CERT 17743）</w:t>
      </w:r>
    </w:p>
    <w:p>
      <w:r>
        <w:rPr>
          <w:b/>
        </w:rPr>
        <w:t>关注理由：</w:t>
      </w:r>
      <w:r>
        <w:t>ROA长期接近零（2Q25 0.067%）、NIM 2.070%，L/D 112.9%，房地产贷款占比96.3%。信用指标当前较低，风险在于持续弱盈利与资金结构限制未来吸收损失能力。</w:t>
      </w:r>
    </w:p>
    <w:p>
      <w:pPr>
        <w:pStyle w:val="Heading3"/>
      </w:pPr>
      <w:r>
        <w:t>管理层必须回答</w:t>
      </w:r>
    </w:p>
    <w:p>
      <w:pPr>
        <w:pStyle w:val="ListBullet"/>
      </w:pPr>
      <w:r>
        <w:t>低收益是战略选择、资产久期还是费用问题？管理层认可的盈利底线是什么？</w:t>
      </w:r>
    </w:p>
    <w:p>
      <w:pPr>
        <w:pStyle w:val="ListBullet"/>
      </w:pPr>
      <w:r>
        <w:t>高L/D背后的存款稳定性和替代融资成本如何？</w:t>
      </w:r>
    </w:p>
    <w:p>
      <w:pPr>
        <w:pStyle w:val="ListBullet"/>
      </w:pPr>
      <w:r>
        <w:t>房地产集中度限额和压力测试是否覆盖区域价格/空置率冲击？</w:t>
      </w:r>
    </w:p>
    <w:p>
      <w:pPr>
        <w:pStyle w:val="Heading3"/>
      </w:pPr>
      <w:r>
        <w:t>下一步资料请求</w:t>
      </w:r>
    </w:p>
    <w:p>
      <w:pPr>
        <w:pStyle w:val="ListBullet"/>
      </w:pPr>
      <w:r>
        <w:t>三年盈利桥、预算偏差、NII/EVE和费用结构</w:t>
      </w:r>
    </w:p>
    <w:p>
      <w:pPr>
        <w:pStyle w:val="ListBullet"/>
      </w:pPr>
      <w:r>
        <w:t>存款分层、集中度、成本、期限和流动性资源</w:t>
      </w:r>
    </w:p>
    <w:p>
      <w:pPr>
        <w:pStyle w:val="ListBullet"/>
      </w:pPr>
      <w:r>
        <w:t>房地产细分、集中度限额、压力测试和董事会报告</w:t>
      </w:r>
    </w:p>
    <w:p>
      <w:r>
        <w:rPr>
          <w:b/>
        </w:rPr>
        <w:t>建议行动：</w:t>
      </w:r>
      <w:r>
        <w:t>Tier 2专题复核，不以低信用指标为由免除跟进；重点验证盈利修复和资金韧性。若连续两个季度ROA不改善或L/D升高，要求正式纠偏计划。</w:t>
      </w:r>
    </w:p>
    <w:p>
      <w:r>
        <w:rPr>
          <w:b/>
        </w:rPr>
        <w:t>后续监测：</w:t>
      </w:r>
      <w:r>
        <w:t>月度NIM/ROA、存款增长与成本、L/D、房地产集中度及早期逾期。</w:t>
      </w:r>
    </w:p>
    <w:p>
      <w:pPr>
        <w:pStyle w:val="Heading1"/>
      </w:pPr>
      <w:r>
        <w:t>90天执行安排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4"/>
              </w:rPr>
              <w:t>工作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4"/>
              </w:rPr>
              <w:t>范围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4"/>
              </w:rPr>
              <w:t>产出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0–10天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确认责任人；发资料请求；建立安全数据室；锁定口径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所有7家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完整性检查；缺口与升级清单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10–30天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Tier 1管理层访谈；Bangor/Union信用事件抽样；Walden增长治理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5家Tier 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初步事实包与红旗事项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30–50天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小型机构问题贷款/抵押品抽样；Tier 2盈利资金分析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30878、29636、27824、17743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抽样结论；资金和盈利桥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45–70天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统一信用、存款和资本压力情景；挑战管理层假设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所有7家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可比压力结果与阈值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70–90天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关闭、延长或升级；落实纠偏里程碑和月度监测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管理层/组合团队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逐家决定与组合行动表</w:t>
            </w:r>
          </w:p>
        </w:tc>
      </w:tr>
    </w:tbl>
    <w:p>
      <w:pPr>
        <w:pStyle w:val="Heading1"/>
      </w:pPr>
      <w:r>
        <w:t>升级、降级与关闭门槛</w:t>
      </w:r>
    </w:p>
    <w:p>
      <w:pPr>
        <w:pStyle w:val="ListBullet"/>
      </w:pPr>
      <w:r>
        <w:t>立即升级：发现评级滞后、重大集中暴露未披露、抵押品显著高估、流动性压力下无法维持内部限额，或资本压力情景跌破管理层/监管约束。</w:t>
      </w:r>
    </w:p>
    <w:p>
      <w:pPr>
        <w:pStyle w:val="ListBullet"/>
      </w:pPr>
      <w:r>
        <w:t>维持跟进：指标改善但不足两个季度，或改善主要来自处置/并购而非基础表现。</w:t>
      </w:r>
    </w:p>
    <w:p>
      <w:pPr>
        <w:pStyle w:val="ListBullet"/>
      </w:pPr>
      <w:r>
        <w:t>降级为监测：管理层解释与贷款级证据一致，ACL/抵押覆盖充分，压力测试留有合理缓冲，且纠偏里程碑清晰。</w:t>
      </w:r>
    </w:p>
    <w:p>
      <w:pPr>
        <w:pStyle w:val="ListBullet"/>
      </w:pPr>
      <w:r>
        <w:t>关闭：连续两个季度核心指标稳定或改善，事项已验证并由董事会纳入常态监控。</w:t>
      </w:r>
    </w:p>
    <w:p>
      <w:pPr>
        <w:pStyle w:val="Heading1"/>
      </w:pPr>
      <w:r>
        <w:t>监测但暂不纳入首轮范围</w:t>
      </w:r>
    </w:p>
    <w:p>
      <w:pPr>
        <w:pStyle w:val="ListBullet"/>
      </w:pPr>
      <w:r>
        <w:t>Primary Bank：NCO 2.229%出现跳升，但ROA 1.557%、RBC 16.781%、EQ/A 14.600%；先验证是否为单一事件。</w:t>
      </w:r>
    </w:p>
    <w:p>
      <w:pPr>
        <w:pStyle w:val="ListBullet"/>
      </w:pPr>
      <w:r>
        <w:t>First Seacoast Bank与Piscataqua Savings Bank：持续负ROA，但当前信用指标低、L/D低于90%和71%；纳入盈利观察。</w:t>
      </w:r>
    </w:p>
    <w:p>
      <w:pPr>
        <w:pStyle w:val="ListBullet"/>
      </w:pPr>
      <w:r>
        <w:t>Merrimack County Savings Bank：ROA 0.263%、L/D 103.1%、NCO 0.669%；若资金或信用继续恶化则升级。</w:t>
      </w:r>
    </w:p>
    <w:p>
      <w:pPr>
        <w:pStyle w:val="ListBullet"/>
      </w:pPr>
      <w:r>
        <w:t>Maine Community Bank：并购导致资产同比增长138%；采用并购调整基线监测整合、信用迁移和资金稳定性。</w:t>
      </w:r>
    </w:p>
    <w:p>
      <w:pPr>
        <w:pStyle w:val="Heading1"/>
      </w:pPr>
      <w:r>
        <w:t>共同假设与限制</w:t>
      </w:r>
    </w:p>
    <w:p>
      <w:pPr>
        <w:pStyle w:val="ListBullet"/>
      </w:pPr>
      <w:r>
        <w:t>This is a hypothetical, retrospective review of a provided public-data snapshot, not a real-time backtest of what was known on each historical date.</w:t>
      </w:r>
    </w:p>
    <w:p>
      <w:pPr>
        <w:pStyle w:val="ListBullet"/>
      </w:pPr>
      <w:r>
        <w:t>Sample is headquarters-based in Maine, New Hampshire and Vermont; findings must not be generalized to the United States banking industry.</w:t>
      </w:r>
    </w:p>
    <w:p>
      <w:pPr>
        <w:pStyle w:val="ListBullet"/>
      </w:pPr>
      <w:r>
        <w:t>Quarterly public ratios can be affected by annualization, seasonality, mergers, accounting elections, denominator changes and one-time items.</w:t>
      </w:r>
    </w:p>
    <w:p>
      <w:pPr>
        <w:pStyle w:val="ListBullet"/>
      </w:pPr>
      <w:r>
        <w:t>No borrower-level files, risk grades, criticized/classified balances, ACL vintage analysis, CRE subsegments, collateral values, deposit concentrations, borrowing capacity, securities duration or stress tests were supplied.</w:t>
      </w:r>
    </w:p>
    <w:p>
      <w:pPr>
        <w:pStyle w:val="ListBullet"/>
      </w:pPr>
      <w:r>
        <w:t>Correlation and timing support hypotheses, not causation. Management records and loan/deposit tapes are required to test explanations.</w:t>
      </w:r>
    </w:p>
    <w:p>
      <w:pPr>
        <w:pStyle w:val="ListBullet"/>
      </w:pPr>
      <w:r>
        <w:t>Institution entry/exit and asset-weight changes alter portfolio aggregates. The attribution tab provides a mechanical bridge, not a causal decomposition.</w:t>
      </w:r>
    </w:p>
    <w:p>
      <w:pPr>
        <w:pStyle w:val="ListBullet"/>
      </w:pPr>
      <w:r>
        <w:t>RBC zeros are excluded as missing/not applicable. Portfolio RBC coverage is therefore incomplete and changes through time.</w:t>
      </w:r>
    </w:p>
    <w:p>
      <w:pPr>
        <w:pStyle w:val="ListBullet"/>
      </w:pPr>
      <w:r>
        <w:t>The priority score is sample-relative and sensitive to chosen weights; it is a triage tool, not a probability of default or regulatory rating.</w:t>
      </w:r>
    </w:p>
    <w:p>
      <w:r>
        <w:t>所有数值和选择均可在 regional_bank_risk_model.xlsx 的 Executive Dashboard、Priority、Bank Latest、Quarterly Detail、Change Attribution 与 Institution Map 中复核。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Internal management use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北新英格兰地区银行组合评估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2F669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3A7D7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