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北新英格兰地区银行组合</w:t>
        <w:br/>
        <w:t>经营表现与财务风险诊断报告</w:t>
      </w:r>
    </w:p>
    <w:p>
      <w:pPr>
        <w:jc w:val="center"/>
      </w:pPr>
      <w:r>
        <w:rPr>
          <w:i/>
          <w:sz w:val="20"/>
        </w:rPr>
        <w:t>评估期间：2022年3月31日 — 2025年6月30日（14个季度） | 样本：VT / NH / ME 共54家FDIC保险银行</w:t>
        <w:br/>
        <w:t>版本日期：2026年10月22日 | 用途：内部管理决策（假设性分析，不构成对外判断）</w:t>
      </w:r>
    </w:p>
    <w:p/>
    <w:p>
      <w:pPr>
        <w:pStyle w:val="Heading1"/>
      </w:pPr>
      <w:r>
        <w:t>1. 执行摘要</w:t>
      </w:r>
    </w:p>
    <w:p>
      <w:r>
        <w:rPr>
          <w:b w:val="0"/>
          <w:i w:val="0"/>
        </w:rPr>
        <w:t>样本整体（报告口径，期末2025Q2共52家申报机构、总资产713亿美元）四项管理层指定核心指标如下，并列期初（2022Q1，51家、598亿美元）对照：</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81"/>
            <w:shd w:val="clear" w:fill="1F4E79"/>
          </w:tcPr>
          <w:p>
            <w:r/>
            <w:r>
              <w:rPr>
                <w:b/>
                <w:color w:val="FFFFFF"/>
                <w:sz w:val="18"/>
              </w:rPr>
              <w:t>核心指标（资产加权）</w:t>
            </w:r>
          </w:p>
        </w:tc>
        <w:tc>
          <w:tcPr>
            <w:tcW w:type="dxa" w:w="1757"/>
            <w:shd w:val="clear" w:fill="1F4E79"/>
          </w:tcPr>
          <w:p>
            <w:r/>
            <w:r>
              <w:rPr>
                <w:b/>
                <w:color w:val="FFFFFF"/>
                <w:sz w:val="18"/>
              </w:rPr>
              <w:t>期初 2022Q1</w:t>
            </w:r>
          </w:p>
        </w:tc>
        <w:tc>
          <w:tcPr>
            <w:tcW w:type="dxa" w:w="1928"/>
            <w:shd w:val="clear" w:fill="1F4E79"/>
          </w:tcPr>
          <w:p>
            <w:r/>
            <w:r>
              <w:rPr>
                <w:b/>
                <w:color w:val="FFFFFF"/>
                <w:sz w:val="18"/>
              </w:rPr>
              <w:t>期末 2025Q2</w:t>
            </w:r>
          </w:p>
        </w:tc>
        <w:tc>
          <w:tcPr>
            <w:tcW w:type="dxa" w:w="1020"/>
            <w:shd w:val="clear" w:fill="1F4E79"/>
          </w:tcPr>
          <w:p>
            <w:r/>
            <w:r>
              <w:rPr>
                <w:b/>
                <w:color w:val="FFFFFF"/>
                <w:sz w:val="18"/>
              </w:rPr>
              <w:t>变化</w:t>
            </w:r>
          </w:p>
        </w:tc>
        <w:tc>
          <w:tcPr>
            <w:tcW w:type="dxa" w:w="3118"/>
            <w:shd w:val="clear" w:fill="1F4E79"/>
          </w:tcPr>
          <w:p>
            <w:r/>
            <w:r>
              <w:rPr>
                <w:b/>
                <w:color w:val="FFFFFF"/>
                <w:sz w:val="18"/>
              </w:rPr>
              <w:t>简要评价</w:t>
            </w:r>
          </w:p>
        </w:tc>
      </w:tr>
      <w:tr>
        <w:tc>
          <w:tcPr>
            <w:tcW w:type="dxa" w:w="2381"/>
          </w:tcPr>
          <w:p>
            <w:r/>
            <w:r>
              <w:rPr>
                <w:sz w:val="18"/>
              </w:rPr>
              <w:t>资产回报率 ROA</w:t>
            </w:r>
          </w:p>
        </w:tc>
        <w:tc>
          <w:tcPr>
            <w:tcW w:type="dxa" w:w="1757"/>
          </w:tcPr>
          <w:p>
            <w:r/>
            <w:r>
              <w:rPr>
                <w:sz w:val="18"/>
              </w:rPr>
              <w:t>0.809%</w:t>
            </w:r>
          </w:p>
        </w:tc>
        <w:tc>
          <w:tcPr>
            <w:tcW w:type="dxa" w:w="1928"/>
          </w:tcPr>
          <w:p>
            <w:r/>
            <w:r>
              <w:rPr>
                <w:sz w:val="18"/>
              </w:rPr>
              <w:t>0.762%</w:t>
            </w:r>
          </w:p>
        </w:tc>
        <w:tc>
          <w:tcPr>
            <w:tcW w:type="dxa" w:w="1020"/>
          </w:tcPr>
          <w:p>
            <w:r/>
            <w:r>
              <w:rPr>
                <w:sz w:val="18"/>
              </w:rPr>
              <w:t>-4.7bp</w:t>
            </w:r>
          </w:p>
        </w:tc>
        <w:tc>
          <w:tcPr>
            <w:tcW w:type="dxa" w:w="3118"/>
          </w:tcPr>
          <w:p>
            <w:r/>
            <w:r>
              <w:rPr>
                <w:sz w:val="18"/>
              </w:rPr>
              <w:t>年度口径2022年0.899%→2023年0.714%→2024年0.723%，盈利中枢明显下移后于2025年上半年随NIM回升略有修复</w:t>
            </w:r>
          </w:p>
        </w:tc>
      </w:tr>
      <w:tr>
        <w:tc>
          <w:tcPr>
            <w:tcW w:type="dxa" w:w="2381"/>
          </w:tcPr>
          <w:p>
            <w:r/>
            <w:r>
              <w:rPr>
                <w:sz w:val="18"/>
              </w:rPr>
              <w:t>非应计资产率（非应计/总资产）</w:t>
            </w:r>
          </w:p>
        </w:tc>
        <w:tc>
          <w:tcPr>
            <w:tcW w:type="dxa" w:w="1757"/>
          </w:tcPr>
          <w:p>
            <w:r/>
            <w:r>
              <w:rPr>
                <w:sz w:val="18"/>
              </w:rPr>
              <w:t>0.220%</w:t>
            </w:r>
          </w:p>
        </w:tc>
        <w:tc>
          <w:tcPr>
            <w:tcW w:type="dxa" w:w="1928"/>
          </w:tcPr>
          <w:p>
            <w:r/>
            <w:r>
              <w:rPr>
                <w:sz w:val="18"/>
              </w:rPr>
              <w:t>0.353%</w:t>
            </w:r>
          </w:p>
        </w:tc>
        <w:tc>
          <w:tcPr>
            <w:tcW w:type="dxa" w:w="1020"/>
          </w:tcPr>
          <w:p>
            <w:r/>
            <w:r>
              <w:rPr>
                <w:sz w:val="18"/>
              </w:rPr>
              <w:t>+13.3bp</w:t>
            </w:r>
          </w:p>
        </w:tc>
        <w:tc>
          <w:tcPr>
            <w:tcW w:type="dxa" w:w="3118"/>
          </w:tcPr>
          <w:p>
            <w:r/>
            <w:r>
              <w:rPr>
                <w:sz w:val="18"/>
              </w:rPr>
              <w:t>翻倍以上；对贷款口径0.316%→0.458%；2024Q4→2025Q2出现集中跳升</w:t>
            </w:r>
          </w:p>
        </w:tc>
      </w:tr>
      <w:tr>
        <w:tc>
          <w:tcPr>
            <w:tcW w:type="dxa" w:w="2381"/>
          </w:tcPr>
          <w:p>
            <w:r/>
            <w:r>
              <w:rPr>
                <w:sz w:val="18"/>
              </w:rPr>
              <w:t>净核销率（净核销/贷款，年化）</w:t>
            </w:r>
          </w:p>
        </w:tc>
        <w:tc>
          <w:tcPr>
            <w:tcW w:type="dxa" w:w="1757"/>
          </w:tcPr>
          <w:p>
            <w:r/>
            <w:r>
              <w:rPr>
                <w:sz w:val="18"/>
              </w:rPr>
              <w:t>0.016%</w:t>
            </w:r>
          </w:p>
        </w:tc>
        <w:tc>
          <w:tcPr>
            <w:tcW w:type="dxa" w:w="1928"/>
          </w:tcPr>
          <w:p>
            <w:r/>
            <w:r>
              <w:rPr>
                <w:sz w:val="18"/>
              </w:rPr>
              <w:t>0.052%</w:t>
            </w:r>
          </w:p>
        </w:tc>
        <w:tc>
          <w:tcPr>
            <w:tcW w:type="dxa" w:w="1020"/>
          </w:tcPr>
          <w:p>
            <w:r/>
            <w:r>
              <w:rPr>
                <w:sz w:val="18"/>
              </w:rPr>
              <w:t>+3.6bp</w:t>
            </w:r>
          </w:p>
        </w:tc>
        <w:tc>
          <w:tcPr>
            <w:tcW w:type="dxa" w:w="3118"/>
          </w:tcPr>
          <w:p>
            <w:r/>
            <w:r>
              <w:rPr>
                <w:sz w:val="18"/>
              </w:rPr>
              <w:t>绝对水平仍低，但为基期3倍以上，与非应计上升方向一致</w:t>
            </w:r>
          </w:p>
        </w:tc>
      </w:tr>
      <w:tr>
        <w:tc>
          <w:tcPr>
            <w:tcW w:type="dxa" w:w="2381"/>
          </w:tcPr>
          <w:p>
            <w:r/>
            <w:r>
              <w:rPr>
                <w:sz w:val="18"/>
              </w:rPr>
              <w:t>总风险资本比率（RBCRWAJ加权）</w:t>
            </w:r>
          </w:p>
        </w:tc>
        <w:tc>
          <w:tcPr>
            <w:tcW w:type="dxa" w:w="1757"/>
          </w:tcPr>
          <w:p>
            <w:r/>
            <w:r>
              <w:rPr>
                <w:sz w:val="18"/>
              </w:rPr>
              <w:t>15.20%（35家申报，资产覆盖75.5%）</w:t>
            </w:r>
          </w:p>
        </w:tc>
        <w:tc>
          <w:tcPr>
            <w:tcW w:type="dxa" w:w="1928"/>
          </w:tcPr>
          <w:p>
            <w:r/>
            <w:r>
              <w:rPr>
                <w:sz w:val="18"/>
              </w:rPr>
              <w:t>14.25%（37家申报，资产覆盖79.0%）</w:t>
            </w:r>
          </w:p>
        </w:tc>
        <w:tc>
          <w:tcPr>
            <w:tcW w:type="dxa" w:w="1020"/>
          </w:tcPr>
          <w:p>
            <w:r/>
            <w:r>
              <w:rPr>
                <w:sz w:val="18"/>
              </w:rPr>
              <w:t>-95bp</w:t>
            </w:r>
          </w:p>
        </w:tc>
        <w:tc>
          <w:tcPr>
            <w:tcW w:type="dxa" w:w="3118"/>
          </w:tcPr>
          <w:p>
            <w:r/>
            <w:r>
              <w:rPr>
                <w:sz w:val="18"/>
              </w:rPr>
              <w:t>仍远高于10%"资本充足"监管线；注意约1/5资产未申报该比率（多为储蓄/互助架构），且资本比率的组合持平部分来自构成变化（见4.4）</w:t>
            </w:r>
          </w:p>
        </w:tc>
      </w:tr>
    </w:tbl>
    <w:p/>
    <w:p>
      <w:r>
        <w:rPr>
          <w:b/>
          <w:i w:val="0"/>
        </w:rPr>
        <w:t>核心判断：</w:t>
      </w:r>
    </w:p>
    <w:p>
      <w:pPr>
        <w:pStyle w:val="ListBullet"/>
      </w:pPr>
      <w:r>
        <w:rPr>
          <w:b/>
        </w:rPr>
        <w:t>信用：</w:t>
      </w:r>
      <w:r>
        <w:t>组合信用质量实质性恶化，且主要是持续机构自身现象。非应计资产率+13.3bp中约85%（+11.3bp）来自49家持续机构自身比率上升，仅约25%来自权重/构成变化；NCL（非应计+90天以上逾期/贷款）0.328%→0.478%、净核销0.016%→0.052%、组合拨备/贷款0.92%基本持平而拨备对非应计覆盖倍数从3.29x降至2.02x，四项证据同向。恶化并非全面扩散：期末非应计余额前5家（Northeast Bank、Bangor Savings、Camden National、Union Bank、Maine Community Bank）占持续机构队列非应计总额的46.7%，且其中4家在2024Q4→2025Q2出现集中跳升。</w:t>
      </w:r>
    </w:p>
    <w:p>
      <w:pPr>
        <w:pStyle w:val="ListBullet"/>
      </w:pPr>
      <w:r>
        <w:rPr>
          <w:b/>
        </w:rPr>
        <w:t>盈利：</w:t>
      </w:r>
      <w:r>
        <w:t>盈利中枢下移但呈"V形"：NIM从3.16%(2022)压缩至2.75%(2024Q1低谷，持续机构口径)后回升至3.17%(2025Q2)，96%的持续机构2024Q2→2025Q2 NIM为正改善；ROA年度口径0.90%→0.71%→0.73%。期末仍有19/49家持续机构ROA低于0.5%、5家为负（另加de novo的Walden Mutual共6家申报机构为负），盈利分化显著。</w:t>
      </w:r>
    </w:p>
    <w:p>
      <w:pPr>
        <w:pStyle w:val="ListBullet"/>
      </w:pPr>
      <w:r>
        <w:rPr>
          <w:b/>
        </w:rPr>
        <w:t>资本：</w:t>
      </w:r>
      <w:r>
        <w:t>组合权益/资产9.88%→9.94%、总风险资本14.25%，表面稳健；但分解显示持续机构自身权益/资产为-18.9bp（留存收益增长慢于资产扩张），组合持平依赖权重变化、高资本de novo进入与并购整合的构成效应。资本缓冲在"最大的机构"处最薄：Bangor Savings（总风险资本11.15%、权益/资产6.37%）、Union Bank（5.85%）为两个最需关注的资本点位。</w:t>
      </w:r>
    </w:p>
    <w:p>
      <w:pPr>
        <w:pStyle w:val="ListBullet"/>
      </w:pPr>
      <w:r>
        <w:rPr>
          <w:b/>
        </w:rPr>
        <w:t>资金：</w:t>
      </w:r>
      <w:r>
        <w:t>贷款/资产69.6%→77.0%、贷款/存款81.4%→94.7%，贷款CAGR约10.3%显著快于存款约5.2%（持续机构口径）。资金趋紧为真实、普遍现象（分解中91%来自持续机构自身），在利率高位期放大了对批发资金/借款的边际依赖，也是2023-2024年NIM压缩的机制之一。</w:t>
      </w:r>
    </w:p>
    <w:p>
      <w:pPr>
        <w:pStyle w:val="ListBullet"/>
      </w:pPr>
      <w:r>
        <w:rPr>
          <w:b/>
        </w:rPr>
        <w:t>构成：</w:t>
      </w:r>
      <w:r>
        <w:t>并购与进入退出重塑样本：2家被并购退出（Northway→Camden National、Gorham Savings→Maine Community Bank，均2025年1月生效）、3家进入（Bank of Burlington与Walden Mutual两家de novo、Fidelity Personal Trust信托公司）。两笔并购使两家收购方资产在2025Q1跳升（Maine Community Bank +131%），其信用与资本指标变化含并购会计影响，须与存量恶化区分。</w:t>
      </w:r>
    </w:p>
    <w:p>
      <w:r>
        <w:rPr>
          <w:b/>
          <w:i w:val="0"/>
        </w:rPr>
        <w:t>优先行动方案（管理层推荐采纳）：</w:t>
      </w:r>
    </w:p>
    <w:p>
      <w:r>
        <w:rPr>
          <w:b w:val="0"/>
          <w:i w:val="0"/>
        </w:rPr>
        <w:t>未来90天按"两档五家+观察名单"配置复核资源：Tier 1深度尽调5家（Bangor Savings Bank、Camden National Bank、Union Bank、Maine Community Bank、Mascoma Bank，合计占持续机构队列资产30.2%），Tier 2定向复核5家（Merrimack County Savings、Salem Co-operative、Northfield Savings、Norway Savings、Franklin Savings Bank (ME)，累计资产份额39.1%），并对13家观察名单机构维持季度监测。选择依据（评分、风险贡献、分级理由）见配套工作簿08_Priority表及《priority_follow_up_brief.docx》。</w:t>
      </w:r>
    </w:p>
    <w:p>
      <w:pPr>
        <w:pStyle w:val="Heading1"/>
      </w:pPr>
      <w:r>
        <w:t>2. 范围、数据与方法</w:t>
      </w:r>
    </w:p>
    <w:p>
      <w:r>
        <w:rPr>
          <w:b/>
          <w:i w:val="0"/>
        </w:rPr>
        <w:t>数据与口径</w:t>
      </w:r>
    </w:p>
    <w:p>
      <w:pPr>
        <w:pStyle w:val="ListBullet"/>
      </w:pPr>
      <w:r>
        <w:t>数据来源：FDIC BankFind Suite API导出的财务面板（fdic_financials_VT_NH_ME_2022_2025.csv，746行=54家机构×最多14季，金额单位千美元）与机构主数据（fdic_institutions_VT_NH_ME.csv），字段定义以financial_definitions.yaml / institution_definitions.yaml为准；信用风险与非应计的监管界定参照FDIC RMS检查手册§3.2(Loans)与OCC《Rating Credit Risk》手册（非应计=本息全额回收高度存疑，通常90天以上未付且非"担保充分并在催收过程中"；非应计贷款几乎总应被分类）。</w:t>
      </w:r>
    </w:p>
    <w:p>
      <w:pPr>
        <w:pStyle w:val="ListBullet"/>
      </w:pPr>
      <w:r>
        <w:t>ROA/ROE/NIMY为FDIC年初至今(YTD)年化比率：Q1为单季年化、Q2为上半年年化。跨季比较受年化窗口影响（2025Q1组合ROA 0.651%偏低部分为季节性/窗口效应，同季同比2024Q1为0.664%）。净核销(NTLNLS)为当季值，年化按×4。ELNATRY为YTD拨备/平均资产，未年化。</w:t>
      </w:r>
    </w:p>
    <w:p>
      <w:pPr>
        <w:pStyle w:val="ListBullet"/>
      </w:pPr>
      <w:r>
        <w:t>RBCRWAJ=0按"未申报"处理（227个观测，集中于储蓄机构/互助控股架构）。组合总风险资本比率为申报机构资产加权值，期末覆盖79.0%资产；该口径变化（覆盖率75.5%→79.0%）本身会影响组合值的可比性，已在归因中说明。</w:t>
      </w:r>
    </w:p>
    <w:p>
      <w:pPr>
        <w:pStyle w:val="ListBullet"/>
      </w:pPr>
      <w:r>
        <w:t>派生指标已用原始字段复算验证：NCLNLSR=(NAASSET+P9ASSET)/LNLSGR×100一致；权益/资产EQV与EQ/ASSET一致；贷款结构LNRE+LNCI+LNCON+其他=LNLSGR闭合。</w:t>
      </w:r>
    </w:p>
    <w:p>
      <w:r>
        <w:rPr>
          <w:b/>
          <w:i w:val="0"/>
        </w:rPr>
        <w:t>分析方法</w:t>
      </w:r>
    </w:p>
    <w:p>
      <w:pPr>
        <w:pStyle w:val="ListBullet"/>
      </w:pPr>
      <w:r>
        <w:t>组合层面：报告口径（当季全部申报机构）与恒定口径（49家持续机构）双轨趋势，分离样本构成影响。</w:t>
      </w:r>
    </w:p>
    <w:p>
      <w:pPr>
        <w:pStyle w:val="ListBullet"/>
      </w:pPr>
      <w:r>
        <w:t>归因：Shift-share四分量分解（持续机构表现/持续机构权重/进入/退出），主窗口2022Q1→2025Q2，稳健性窗口2022Q2→2025Q2，两窗口结论方向一致。</w:t>
      </w:r>
    </w:p>
    <w:p>
      <w:pPr>
        <w:pStyle w:val="ListBullet"/>
      </w:pPr>
      <w:r>
        <w:t>机构层面：期末同业中位数对照、全窗口变化、六维百分位优先评分（信用水平30/信用趋势20/资本20/盈利15/盈利趋势10/资金5）与风险贡献（优先级×对数资产份额）。评分是排序工具，不替代管理层判断。</w:t>
      </w:r>
    </w:p>
    <w:p>
      <w:pPr>
        <w:pStyle w:val="Heading1"/>
      </w:pPr>
      <w:r>
        <w:t>3. 组合层面诊断</w:t>
      </w:r>
    </w:p>
    <w:p>
      <w:pPr>
        <w:pStyle w:val="Heading2"/>
      </w:pPr>
      <w:r>
        <w:t>3.1 盈利能力：中枢下移、V形修复、深度分化</w:t>
      </w:r>
    </w:p>
    <w:p>
      <w:r>
        <w:rPr>
          <w:b w:val="0"/>
          <w:i w:val="0"/>
        </w:rPr>
        <w:t>组合ROA（资产加权，报告口径）从2022年年度0.899%降至2023年0.714%、2024年0.723%，2025年上半年0.762%。路径的主导变量是NIM：3.31%(2022Q4年化)→2.86%(2024Q4)→3.17%(2025Q2)，低谷在2024Q1的2.75%（持续机构口径）。这与2022-2023年加息周期中负债重定价快于资产收益率重定价的行业机制一致，且样本存款成本上升与贷款/存款比率上升（资金结构趋紧）同步发生。2024Q2→2025Q2，96%的持续机构NIM改善（中位数+23bp），组合NIM回升41bp；改善最大的包括Maine Community Bank(+143bp，含并购资产重定价)、Camden National(+89bp)、Machias Savings(+62bp)。</w:t>
      </w:r>
    </w:p>
    <w:p>
      <w:r>
        <w:rPr>
          <w:b w:val="0"/>
          <w:i w:val="0"/>
        </w:rPr>
        <w:t>但修复不完整且分布不均：期末49家持续机构中19家ROA&lt;0.5%、5家为负（Piscataqua -0.30%、Salem Co-operative -0.31%、Brattleboro S&amp;L -0.33%、First Seacoast -0.39%、Profile Bank -0.03%；de novo进入的Walden Mutual -0.24%为第6家负ROA申报机构）。负ROA机构的成因不同：Piscataqua是NIM塌缩（2.01%→1.30%，信用指标反而干净），Salem Co-op是NIM压缩(2.87%→1.92%)叠加非应计上升与高贷存比(121%)，First Seacoast资本偏薄(权益/资产7.36%)且持续亏损，Walden Mutual为de novo爬坡期亏损且非应计/贷款2.67%异常高（小基数，$2.8M非应计对$146M资产）。</w:t>
      </w:r>
    </w:p>
    <w:p>
      <w:r>
        <w:rPr>
          <w:b w:val="0"/>
          <w:i w:val="0"/>
        </w:rPr>
        <w:t>业务特征维度：抵押贷款专长组（14家，$6.5B）ROA仅0.354%且基期即低（0.416%），是长期盈利落后组——其商业模式（低收益住宅抵押资产、互助架构下的低杠杆运营）决定了低ROA中枢，不宜与商业贷款组（34家，$64.0B，ROA 0.778%）用同一标尺评价；但组内Piscataqua、Brattleboro、First Seacoast、Salem Co-op的亏损程度已超模式可解释范围。规模维度：&lt;$300M组ROA仅0.261%，&gt;$3B组0.845%但2025年恶化最快。</w:t>
      </w:r>
    </w:p>
    <w:p>
      <w:pPr>
        <w:pStyle w:val="Heading2"/>
      </w:pPr>
      <w:r>
        <w:t>3.2 信用质量：真实的、集中的、2025年上半年加速的恶化</w:t>
      </w:r>
    </w:p>
    <w:p>
      <w:r>
        <w:rPr>
          <w:b w:val="0"/>
          <w:i w:val="0"/>
        </w:rPr>
        <w:t>四项指标同向恶化（报告口径，2022Q1→2025Q2）：非应计/资产0.220%→0.353%；非应计/贷款0.316%→0.458%；NCL/贷款0.328%→0.478%；净核销/贷款(年化)0.016%→0.052%。30-89天逾期/资产0.116%→0.222%同步翻倍，说明前端逾期管道也在变宽，非应计上升不太可能只是分类口径的一次性搬运。恒定口径（49家持续机构）非应计/资产+13.8bp与报告口径+13.3bp几乎一致——恶化不是样本构成假象。</w:t>
      </w:r>
    </w:p>
    <w:p>
      <w:r>
        <w:rPr>
          <w:b w:val="0"/>
          <w:i w:val="0"/>
        </w:rPr>
        <w:t>时间形态：2022-2024年缓慢爬升（持续机构非应计/资产0.213%→0.273%），2024Q4→2025Q2集中跳升（0.273%→0.351%）。跳升高度集中：Bangor Savings非应计余额+$27.0M、Union Bank +$13.5M、Camden National +$13.3M、Maine Community Bank +$10.7M，四家合计+$64.6M，而同期持续机构队列非应计净增量为+$66.4M（部分机构非应计下降对冲）——跳升高度集中于这四家。</w:t>
      </w:r>
    </w:p>
    <w:p>
      <w:r>
        <w:rPr>
          <w:b w:val="0"/>
          <w:i w:val="0"/>
        </w:rPr>
        <w:t>覆盖与拨备：组合拨备/贷款0.92%（期初1.04%，中点低谷0.90%）基本平稳，但因非应计翻倍，拨备对非应计覆盖倍数从3.29x降至2.02x。期末覆盖最薄的大额机构：Union Bank 0.55x、Franklin Savings Bank(ME) 0.55x、First Federal S&amp;L of Bath 0.63x、Bar Harbor S&amp;L 0.50x。组合加权拨备/贷款期末0.924%尚在同业正常区间，但"平均充足"掩盖了点位缺口。2025年拨备开始补提：组合YTD拨备/资产从0.016%（2022Q1同期）升至0.124%，其中Camden National 0.59%为组合最高（并购组合入账+存量补提混合）。</w:t>
      </w:r>
    </w:p>
    <w:p>
      <w:r>
        <w:rPr>
          <w:b w:val="0"/>
          <w:i w:val="0"/>
        </w:rPr>
        <w:t>结构背景：贷款组合以房地产为主（期末占贷款87.3%，期内基本稳定），C&amp;I占7.4%、消费占1.8%。因此本轮非应计上升更可能来自房地产相关（含小企业以房产抵押）与商业敞口，而非消费信贷；Northeast Bank（非应计/贷款长期约0.9-1.5%、NIM 4.9%、贷存比111%）的资产结构显示其高收益高信用成本模式为持续性特征而非本期恶化。</w:t>
      </w:r>
    </w:p>
    <w:p>
      <w:pPr>
        <w:pStyle w:val="Heading2"/>
      </w:pPr>
      <w:r>
        <w:t>3.3 资本承受力：组合表面稳健，点位与趋势堪忧</w:t>
      </w:r>
    </w:p>
    <w:p>
      <w:r>
        <w:rPr>
          <w:b w:val="0"/>
          <w:i w:val="0"/>
        </w:rPr>
        <w:t>组合权益/资产9.88%→9.94%、申报机构总风险资本比率15.20%→14.25%，均远高于监管"资本充足"门槛（总风险资本≥10%）。但三点警示：</w:t>
      </w:r>
    </w:p>
    <w:p>
      <w:pPr>
        <w:pStyle w:val="ListBullet"/>
      </w:pPr>
      <w:r>
        <w:t>分解显示持续机构自身权益/资产变化为-18.9bp，组合持平完全依赖构成效应（权重+47.6bp、进入+15.7bp、退出-37.6bp——两家被并购的低资本储蓄机构退出与高资本de novo进入相互对冲）。恒定口径下持续机构权益/资产9.963%→9.856%（-10.7bp）。</w:t>
      </w:r>
    </w:p>
    <w:p>
      <w:pPr>
        <w:pStyle w:val="ListBullet"/>
      </w:pPr>
      <w:r>
        <w:t>资本最薄处恰是资产最大处：Bangor Savings（组合最大机构，$7.3B）总风险资本11.15%（申报机构中最低）且三年下降197bp，权益/资产6.37%；Union Bank权益/资产5.85%、总风险资本12.62%；Mascoma Bank总风险资本14.33%→12.64%。若上述任一机构信用损失超预期，资本吸收空间有限。</w:t>
      </w:r>
    </w:p>
    <w:p>
      <w:pPr>
        <w:pStyle w:val="ListBullet"/>
      </w:pPr>
      <w:r>
        <w:t>15家期末未申报总风险资本比率（覆盖约21%资产），其中含Maine Community Bank（并购后权益/资产已从12.96%降至9.10%）。对这批机构只能依赖权益/资产替代判断，资本充足证据不完整。</w:t>
      </w:r>
    </w:p>
    <w:p>
      <w:pPr>
        <w:pStyle w:val="Heading2"/>
      </w:pPr>
      <w:r>
        <w:t>3.4 资金状况：普遍趋紧，尾部机构已依赖非存款资金</w:t>
      </w:r>
    </w:p>
    <w:p>
      <w:r>
        <w:rPr>
          <w:b w:val="0"/>
          <w:i w:val="0"/>
        </w:rPr>
        <w:t>组合贷款/存款81.4%→94.7%（持续机构自身贡献91%），贷款/资产69.6%→77.0%。报告口径存款三年+13.2%、贷款+31.7%；持续机构口径贷款CAGR约10.3% vs 存款约5.2%，反映加息周期存款流出/再定价与贷款需求并存。期末贷存比超100%的机构达20家（期初仅3家），最高者：Salem Co-operative 121%、Bar Harbor S&amp;L 118%、Saco &amp; Biddeford 113%、Northeast Bank 111%、Kennebec 110%、Franklin Savings(ME) 109%、Rockland Savings 109%、Auburn Savings 108%、Partners Bank of New England 108%、Bank of New England 108%（完整名单见工作簿07_Bank_Metrics按贷款/存款%排序）。贷存比&gt;100%意味着贷款依赖FHLB借款/经纪存款等批发资金，在利率高位直接侵蚀NIM并构成流动性风险传导渠道。数据限制：面板未含借款明细与未保险存款比例，无法量化批发资金依赖度与存款集中度，已列入信息请求。</w:t>
      </w:r>
    </w:p>
    <w:p>
      <w:pPr>
        <w:pStyle w:val="Heading2"/>
      </w:pPr>
      <w:r>
        <w:t>3.5 增长与贷款结构：分化明显，并购与高增长机构改变组合重心</w:t>
      </w:r>
    </w:p>
    <w:p>
      <w:r>
        <w:rPr>
          <w:b w:val="0"/>
          <w:i w:val="0"/>
        </w:rPr>
        <w:t>组合总资产三年+19.1%（598亿→713亿美元），其中持续机构内生增长与并购整合共同作用。增长前列：Maine Community Bank（CAGR 36.6%，主要因2025年吸收Gorham Savings $1.6B）、Northeast Bank（36.2%，内生高增长）、Millyard Bank（21.9%）、Bank of New England（11.0%）、Franklin Savings ME（9.1%）。Northeast Bank值得专述：资产从$1.57B增至$4.28B，同时保持ROA 2.09%（组合最高之一）与总风险资本14.70%，但非应计/贷款长期约1%、贷存比111%、拨备覆盖1.37x——高收益伴随高信用成本，其快速扩张期的承保纪律需要验证。低增长/收缩：Piscataqua（CAGR 1.2%）、Mascoma（3.4%）、Northfield（3.1%）。</w:t>
      </w:r>
    </w:p>
    <w:p>
      <w:r>
        <w:rPr>
          <w:b w:val="0"/>
          <w:i w:val="0"/>
        </w:rPr>
        <w:t>贷款结构期内稳定（房地产87.3%→87.3%），组合层面未见向高风险类别的显著漂移；机构层面例外：Northeast Bank的C&amp;I占比2.1%→4.2%（翻倍，伴随高增长）、Maine Community Bank并购后C&amp;I 5.3%→9.2%（继承Gorham组合）。</w:t>
      </w:r>
    </w:p>
    <w:p>
      <w:pPr>
        <w:pStyle w:val="Heading2"/>
      </w:pPr>
      <w:r>
        <w:t>3.6 同类比较：州与业务专长维度</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948"/>
            <w:shd w:val="clear" w:fill="1F4E79"/>
          </w:tcPr>
          <w:p>
            <w:r/>
            <w:r>
              <w:rPr>
                <w:b/>
                <w:color w:val="FFFFFF"/>
                <w:sz w:val="18"/>
              </w:rPr>
              <w:t>分组（持续机构）</w:t>
            </w:r>
          </w:p>
        </w:tc>
        <w:tc>
          <w:tcPr>
            <w:tcW w:type="dxa" w:w="1247"/>
            <w:shd w:val="clear" w:fill="1F4E79"/>
          </w:tcPr>
          <w:p>
            <w:r/>
            <w:r>
              <w:rPr>
                <w:b/>
                <w:color w:val="FFFFFF"/>
                <w:sz w:val="18"/>
              </w:rPr>
              <w:t>时点</w:t>
            </w:r>
          </w:p>
        </w:tc>
        <w:tc>
          <w:tcPr>
            <w:tcW w:type="dxa" w:w="1474"/>
            <w:shd w:val="clear" w:fill="1F4E79"/>
          </w:tcPr>
          <w:p>
            <w:r/>
            <w:r>
              <w:rPr>
                <w:b/>
                <w:color w:val="FFFFFF"/>
                <w:sz w:val="18"/>
              </w:rPr>
              <w:t>ROA%</w:t>
            </w:r>
          </w:p>
        </w:tc>
        <w:tc>
          <w:tcPr>
            <w:tcW w:type="dxa" w:w="1361"/>
            <w:shd w:val="clear" w:fill="1F4E79"/>
          </w:tcPr>
          <w:p>
            <w:r/>
            <w:r>
              <w:rPr>
                <w:b/>
                <w:color w:val="FFFFFF"/>
                <w:sz w:val="18"/>
              </w:rPr>
              <w:t>NIM%</w:t>
            </w:r>
          </w:p>
        </w:tc>
        <w:tc>
          <w:tcPr>
            <w:tcW w:type="dxa" w:w="1474"/>
            <w:shd w:val="clear" w:fill="1F4E79"/>
          </w:tcPr>
          <w:p>
            <w:r/>
            <w:r>
              <w:rPr>
                <w:b/>
                <w:color w:val="FFFFFF"/>
                <w:sz w:val="18"/>
              </w:rPr>
              <w:t>非应计/资产%</w:t>
            </w:r>
          </w:p>
        </w:tc>
        <w:tc>
          <w:tcPr>
            <w:tcW w:type="dxa" w:w="1361"/>
            <w:shd w:val="clear" w:fill="1F4E79"/>
          </w:tcPr>
          <w:p>
            <w:r/>
            <w:r>
              <w:rPr>
                <w:b/>
                <w:color w:val="FFFFFF"/>
                <w:sz w:val="18"/>
              </w:rPr>
              <w:t>权益/资产%</w:t>
            </w:r>
          </w:p>
        </w:tc>
        <w:tc>
          <w:tcPr>
            <w:tcW w:type="dxa" w:w="1247"/>
            <w:shd w:val="clear" w:fill="1F4E79"/>
          </w:tcPr>
          <w:p>
            <w:r/>
            <w:r>
              <w:rPr>
                <w:b/>
                <w:color w:val="FFFFFF"/>
                <w:sz w:val="18"/>
              </w:rPr>
              <w:t>贷款/存款%</w:t>
            </w:r>
          </w:p>
        </w:tc>
      </w:tr>
      <w:tr>
        <w:tc>
          <w:tcPr>
            <w:tcW w:type="dxa" w:w="2948"/>
          </w:tcPr>
          <w:p>
            <w:r/>
            <w:r>
              <w:rPr>
                <w:sz w:val="18"/>
              </w:rPr>
              <w:t>缅因 ME（22家，$46.0B）</w:t>
            </w:r>
          </w:p>
        </w:tc>
        <w:tc>
          <w:tcPr>
            <w:tcW w:type="dxa" w:w="1247"/>
          </w:tcPr>
          <w:p>
            <w:r/>
            <w:r>
              <w:rPr>
                <w:sz w:val="18"/>
              </w:rPr>
              <w:t>期初→期末</w:t>
            </w:r>
          </w:p>
        </w:tc>
        <w:tc>
          <w:tcPr>
            <w:tcW w:type="dxa" w:w="1474"/>
          </w:tcPr>
          <w:p>
            <w:r/>
            <w:r>
              <w:rPr>
                <w:sz w:val="18"/>
              </w:rPr>
              <w:t>0.893→0.794</w:t>
            </w:r>
          </w:p>
        </w:tc>
        <w:tc>
          <w:tcPr>
            <w:tcW w:type="dxa" w:w="1361"/>
          </w:tcPr>
          <w:p>
            <w:r/>
            <w:r>
              <w:rPr>
                <w:sz w:val="18"/>
              </w:rPr>
              <w:t>3.171→3.236</w:t>
            </w:r>
          </w:p>
        </w:tc>
        <w:tc>
          <w:tcPr>
            <w:tcW w:type="dxa" w:w="1474"/>
          </w:tcPr>
          <w:p>
            <w:r/>
            <w:r>
              <w:rPr>
                <w:sz w:val="18"/>
              </w:rPr>
              <w:t>0.193→0.364</w:t>
            </w:r>
          </w:p>
        </w:tc>
        <w:tc>
          <w:tcPr>
            <w:tcW w:type="dxa" w:w="1361"/>
          </w:tcPr>
          <w:p>
            <w:r/>
            <w:r>
              <w:rPr>
                <w:sz w:val="18"/>
              </w:rPr>
              <w:t>10.222→9.914</w:t>
            </w:r>
          </w:p>
        </w:tc>
        <w:tc>
          <w:tcPr>
            <w:tcW w:type="dxa" w:w="1247"/>
          </w:tcPr>
          <w:p>
            <w:r/>
            <w:r>
              <w:rPr>
                <w:sz w:val="18"/>
              </w:rPr>
              <w:t>80.8→95.3</w:t>
            </w:r>
          </w:p>
        </w:tc>
      </w:tr>
      <w:tr>
        <w:tc>
          <w:tcPr>
            <w:tcW w:type="dxa" w:w="2948"/>
          </w:tcPr>
          <w:p>
            <w:r/>
            <w:r>
              <w:rPr>
                <w:sz w:val="18"/>
              </w:rPr>
              <w:t>新罕布什尔 NH（16家，$16.5B）</w:t>
            </w:r>
          </w:p>
        </w:tc>
        <w:tc>
          <w:tcPr>
            <w:tcW w:type="dxa" w:w="1247"/>
          </w:tcPr>
          <w:p>
            <w:r/>
            <w:r>
              <w:rPr>
                <w:sz w:val="18"/>
              </w:rPr>
              <w:t>期初→期末</w:t>
            </w:r>
          </w:p>
        </w:tc>
        <w:tc>
          <w:tcPr>
            <w:tcW w:type="dxa" w:w="1474"/>
          </w:tcPr>
          <w:p>
            <w:r/>
            <w:r>
              <w:rPr>
                <w:sz w:val="18"/>
              </w:rPr>
              <w:t>0.893→0.602</w:t>
            </w:r>
          </w:p>
        </w:tc>
        <w:tc>
          <w:tcPr>
            <w:tcW w:type="dxa" w:w="1361"/>
          </w:tcPr>
          <w:p>
            <w:r/>
            <w:r>
              <w:rPr>
                <w:sz w:val="18"/>
              </w:rPr>
              <w:t>3.281→3.021</w:t>
            </w:r>
          </w:p>
        </w:tc>
        <w:tc>
          <w:tcPr>
            <w:tcW w:type="dxa" w:w="1474"/>
          </w:tcPr>
          <w:p>
            <w:r/>
            <w:r>
              <w:rPr>
                <w:sz w:val="18"/>
              </w:rPr>
              <w:t>0.149→0.244</w:t>
            </w:r>
          </w:p>
        </w:tc>
        <w:tc>
          <w:tcPr>
            <w:tcW w:type="dxa" w:w="1361"/>
          </w:tcPr>
          <w:p>
            <w:r/>
            <w:r>
              <w:rPr>
                <w:sz w:val="18"/>
              </w:rPr>
              <w:t>10.122→10.171</w:t>
            </w:r>
          </w:p>
        </w:tc>
        <w:tc>
          <w:tcPr>
            <w:tcW w:type="dxa" w:w="1247"/>
          </w:tcPr>
          <w:p>
            <w:r/>
            <w:r>
              <w:rPr>
                <w:sz w:val="18"/>
              </w:rPr>
              <w:t>87.7→96.2</w:t>
            </w:r>
          </w:p>
        </w:tc>
      </w:tr>
      <w:tr>
        <w:tc>
          <w:tcPr>
            <w:tcW w:type="dxa" w:w="2948"/>
          </w:tcPr>
          <w:p>
            <w:r/>
            <w:r>
              <w:rPr>
                <w:sz w:val="18"/>
              </w:rPr>
              <w:t>佛蒙特 VT（11家，$8.2B）</w:t>
            </w:r>
          </w:p>
        </w:tc>
        <w:tc>
          <w:tcPr>
            <w:tcW w:type="dxa" w:w="1247"/>
          </w:tcPr>
          <w:p>
            <w:r/>
            <w:r>
              <w:rPr>
                <w:sz w:val="18"/>
              </w:rPr>
              <w:t>期初→期末</w:t>
            </w:r>
          </w:p>
        </w:tc>
        <w:tc>
          <w:tcPr>
            <w:tcW w:type="dxa" w:w="1474"/>
          </w:tcPr>
          <w:p>
            <w:r/>
            <w:r>
              <w:rPr>
                <w:sz w:val="18"/>
              </w:rPr>
              <w:t>0.600→0.696</w:t>
            </w:r>
          </w:p>
        </w:tc>
        <w:tc>
          <w:tcPr>
            <w:tcW w:type="dxa" w:w="1361"/>
          </w:tcPr>
          <w:p>
            <w:r/>
            <w:r>
              <w:rPr>
                <w:sz w:val="18"/>
              </w:rPr>
              <w:t>2.895→3.085</w:t>
            </w:r>
          </w:p>
        </w:tc>
        <w:tc>
          <w:tcPr>
            <w:tcW w:type="dxa" w:w="1474"/>
          </w:tcPr>
          <w:p>
            <w:r/>
            <w:r>
              <w:rPr>
                <w:sz w:val="18"/>
              </w:rPr>
              <w:t>0.430→0.496</w:t>
            </w:r>
          </w:p>
        </w:tc>
        <w:tc>
          <w:tcPr>
            <w:tcW w:type="dxa" w:w="1361"/>
          </w:tcPr>
          <w:p>
            <w:r/>
            <w:r>
              <w:rPr>
                <w:sz w:val="18"/>
              </w:rPr>
              <w:t>8.401→8.898</w:t>
            </w:r>
          </w:p>
        </w:tc>
        <w:tc>
          <w:tcPr>
            <w:tcW w:type="dxa" w:w="1247"/>
          </w:tcPr>
          <w:p>
            <w:r/>
            <w:r>
              <w:rPr>
                <w:sz w:val="18"/>
              </w:rPr>
              <w:t>71.9→89.5</w:t>
            </w:r>
          </w:p>
        </w:tc>
      </w:tr>
      <w:tr>
        <w:tc>
          <w:tcPr>
            <w:tcW w:type="dxa" w:w="2948"/>
          </w:tcPr>
          <w:p>
            <w:r/>
            <w:r>
              <w:rPr>
                <w:sz w:val="18"/>
              </w:rPr>
              <w:t>商业贷款专长（34家）</w:t>
            </w:r>
          </w:p>
        </w:tc>
        <w:tc>
          <w:tcPr>
            <w:tcW w:type="dxa" w:w="1247"/>
          </w:tcPr>
          <w:p>
            <w:r/>
            <w:r>
              <w:rPr>
                <w:sz w:val="18"/>
              </w:rPr>
              <w:t>期初→期末</w:t>
            </w:r>
          </w:p>
        </w:tc>
        <w:tc>
          <w:tcPr>
            <w:tcW w:type="dxa" w:w="1474"/>
          </w:tcPr>
          <w:p>
            <w:r/>
            <w:r>
              <w:rPr>
                <w:sz w:val="18"/>
              </w:rPr>
              <w:t>0.907→0.778</w:t>
            </w:r>
          </w:p>
        </w:tc>
        <w:tc>
          <w:tcPr>
            <w:tcW w:type="dxa" w:w="1361"/>
          </w:tcPr>
          <w:p>
            <w:r/>
            <w:r>
              <w:rPr>
                <w:sz w:val="18"/>
              </w:rPr>
              <w:t>—</w:t>
            </w:r>
          </w:p>
        </w:tc>
        <w:tc>
          <w:tcPr>
            <w:tcW w:type="dxa" w:w="1474"/>
          </w:tcPr>
          <w:p>
            <w:r/>
            <w:r>
              <w:rPr>
                <w:sz w:val="18"/>
              </w:rPr>
              <w:t>0.188→0.358</w:t>
            </w:r>
          </w:p>
        </w:tc>
        <w:tc>
          <w:tcPr>
            <w:tcW w:type="dxa" w:w="1361"/>
          </w:tcPr>
          <w:p>
            <w:r/>
            <w:r>
              <w:rPr>
                <w:sz w:val="18"/>
              </w:rPr>
              <w:t>—</w:t>
            </w:r>
          </w:p>
        </w:tc>
        <w:tc>
          <w:tcPr>
            <w:tcW w:type="dxa" w:w="1247"/>
          </w:tcPr>
          <w:p>
            <w:r/>
            <w:r>
              <w:rPr>
                <w:sz w:val="18"/>
              </w:rPr>
              <w:t>81.3→95.2</w:t>
            </w:r>
          </w:p>
        </w:tc>
      </w:tr>
      <w:tr>
        <w:tc>
          <w:tcPr>
            <w:tcW w:type="dxa" w:w="2948"/>
          </w:tcPr>
          <w:p>
            <w:r/>
            <w:r>
              <w:rPr>
                <w:sz w:val="18"/>
              </w:rPr>
              <w:t>抵押贷款专长（14家）</w:t>
            </w:r>
          </w:p>
        </w:tc>
        <w:tc>
          <w:tcPr>
            <w:tcW w:type="dxa" w:w="1247"/>
          </w:tcPr>
          <w:p>
            <w:r/>
            <w:r>
              <w:rPr>
                <w:sz w:val="18"/>
              </w:rPr>
              <w:t>期初→期末</w:t>
            </w:r>
          </w:p>
        </w:tc>
        <w:tc>
          <w:tcPr>
            <w:tcW w:type="dxa" w:w="1474"/>
          </w:tcPr>
          <w:p>
            <w:r/>
            <w:r>
              <w:rPr>
                <w:sz w:val="18"/>
              </w:rPr>
              <w:t>0.416→0.354</w:t>
            </w:r>
          </w:p>
        </w:tc>
        <w:tc>
          <w:tcPr>
            <w:tcW w:type="dxa" w:w="1361"/>
          </w:tcPr>
          <w:p>
            <w:r/>
            <w:r>
              <w:rPr>
                <w:sz w:val="18"/>
              </w:rPr>
              <w:t>—</w:t>
            </w:r>
          </w:p>
        </w:tc>
        <w:tc>
          <w:tcPr>
            <w:tcW w:type="dxa" w:w="1474"/>
          </w:tcPr>
          <w:p>
            <w:r/>
            <w:r>
              <w:rPr>
                <w:sz w:val="18"/>
              </w:rPr>
              <w:t>0.430→0.287</w:t>
            </w:r>
          </w:p>
        </w:tc>
        <w:tc>
          <w:tcPr>
            <w:tcW w:type="dxa" w:w="1361"/>
          </w:tcPr>
          <w:p>
            <w:r/>
            <w:r>
              <w:rPr>
                <w:sz w:val="18"/>
              </w:rPr>
              <w:t>—</w:t>
            </w:r>
          </w:p>
        </w:tc>
        <w:tc>
          <w:tcPr>
            <w:tcW w:type="dxa" w:w="1247"/>
          </w:tcPr>
          <w:p>
            <w:r/>
            <w:r>
              <w:rPr>
                <w:sz w:val="18"/>
              </w:rPr>
              <w:t>81.7→91.7</w:t>
            </w:r>
          </w:p>
        </w:tc>
      </w:tr>
    </w:tbl>
    <w:p/>
    <w:p>
      <w:r>
        <w:rPr>
          <w:b w:val="0"/>
          <w:i w:val="0"/>
        </w:rPr>
        <w:t>州维度：NH盈利降幅最大（-29bp，Salem/Merrimack/Piscataqua拖累），ME非应计升幅最大（+17bp，与两笔ME相关并购及Bangor跳升同区），VT基期信用即弱（0.43%）且资本最薄（权益/资产8.9%）但ROA改善。专长维度：商业贷款组是本轮信用恶化的主体（非应计+17bp）；抵押贷款组信用反而改善但盈利持续落后。</w:t>
      </w:r>
    </w:p>
    <w:p>
      <w:pPr>
        <w:pStyle w:val="Heading1"/>
      </w:pPr>
      <w:r>
        <w:t>4. 组合变化归因：多少来自持续机构自身，多少来自构成</w:t>
      </w:r>
    </w:p>
    <w:p>
      <w:r>
        <w:rPr>
          <w:b w:val="0"/>
          <w:i w:val="0"/>
        </w:rPr>
        <w:t>Shift-share分解（主窗口2022Q1→2025Q2，报告口径；完整表见工作簿05_Decomposition）：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val="clear" w:fill="1F4E79"/>
          </w:tcPr>
          <w:p>
            <w:r/>
            <w:r>
              <w:rPr>
                <w:b/>
                <w:color w:val="FFFFFF"/>
                <w:sz w:val="17"/>
              </w:rPr>
              <w:t>指标</w:t>
            </w:r>
          </w:p>
        </w:tc>
        <w:tc>
          <w:tcPr>
            <w:tcW w:type="dxa" w:w="1020"/>
            <w:shd w:val="clear" w:fill="1F4E79"/>
          </w:tcPr>
          <w:p>
            <w:r/>
            <w:r>
              <w:rPr>
                <w:b/>
                <w:color w:val="FFFFFF"/>
                <w:sz w:val="17"/>
              </w:rPr>
              <w:t>Δ总变化</w:t>
            </w:r>
          </w:p>
        </w:tc>
        <w:tc>
          <w:tcPr>
            <w:tcW w:type="dxa" w:w="1701"/>
            <w:shd w:val="clear" w:fill="1F4E79"/>
          </w:tcPr>
          <w:p>
            <w:r/>
            <w:r>
              <w:rPr>
                <w:b/>
                <w:color w:val="FFFFFF"/>
                <w:sz w:val="17"/>
              </w:rPr>
              <w:t>持续机构-自身表现</w:t>
            </w:r>
          </w:p>
        </w:tc>
        <w:tc>
          <w:tcPr>
            <w:tcW w:type="dxa" w:w="1247"/>
            <w:shd w:val="clear" w:fill="1F4E79"/>
          </w:tcPr>
          <w:p>
            <w:r/>
            <w:r>
              <w:rPr>
                <w:b/>
                <w:color w:val="FFFFFF"/>
                <w:sz w:val="17"/>
              </w:rPr>
              <w:t>持续机构-权重</w:t>
            </w:r>
          </w:p>
        </w:tc>
        <w:tc>
          <w:tcPr>
            <w:tcW w:type="dxa" w:w="907"/>
            <w:shd w:val="clear" w:fill="1F4E79"/>
          </w:tcPr>
          <w:p>
            <w:r/>
            <w:r>
              <w:rPr>
                <w:b/>
                <w:color w:val="FFFFFF"/>
                <w:sz w:val="17"/>
              </w:rPr>
              <w:t>进入</w:t>
            </w:r>
          </w:p>
        </w:tc>
        <w:tc>
          <w:tcPr>
            <w:tcW w:type="dxa" w:w="907"/>
            <w:shd w:val="clear" w:fill="1F4E79"/>
          </w:tcPr>
          <w:p>
            <w:r/>
            <w:r>
              <w:rPr>
                <w:b/>
                <w:color w:val="FFFFFF"/>
                <w:sz w:val="17"/>
              </w:rPr>
              <w:t>退出</w:t>
            </w:r>
          </w:p>
        </w:tc>
        <w:tc>
          <w:tcPr>
            <w:tcW w:type="dxa" w:w="3402"/>
            <w:shd w:val="clear" w:fill="1F4E79"/>
          </w:tcPr>
          <w:p>
            <w:r/>
            <w:r>
              <w:rPr>
                <w:b/>
                <w:color w:val="FFFFFF"/>
                <w:sz w:val="17"/>
              </w:rPr>
              <w:t>结论</w:t>
            </w:r>
          </w:p>
        </w:tc>
      </w:tr>
      <w:tr>
        <w:tc>
          <w:tcPr>
            <w:tcW w:type="dxa" w:w="1701"/>
          </w:tcPr>
          <w:p>
            <w:r/>
            <w:r>
              <w:rPr>
                <w:sz w:val="17"/>
              </w:rPr>
              <w:t>ROA %</w:t>
            </w:r>
          </w:p>
        </w:tc>
        <w:tc>
          <w:tcPr>
            <w:tcW w:type="dxa" w:w="1020"/>
          </w:tcPr>
          <w:p>
            <w:r/>
            <w:r>
              <w:rPr>
                <w:sz w:val="17"/>
              </w:rPr>
              <w:t>-0.047</w:t>
            </w:r>
          </w:p>
        </w:tc>
        <w:tc>
          <w:tcPr>
            <w:tcW w:type="dxa" w:w="1701"/>
          </w:tcPr>
          <w:p>
            <w:r/>
            <w:r>
              <w:rPr>
                <w:sz w:val="17"/>
              </w:rPr>
              <w:t>-0.172</w:t>
            </w:r>
          </w:p>
        </w:tc>
        <w:tc>
          <w:tcPr>
            <w:tcW w:type="dxa" w:w="1247"/>
          </w:tcPr>
          <w:p>
            <w:r/>
            <w:r>
              <w:rPr>
                <w:sz w:val="17"/>
              </w:rPr>
              <w:t>+0.089</w:t>
            </w:r>
          </w:p>
        </w:tc>
        <w:tc>
          <w:tcPr>
            <w:tcW w:type="dxa" w:w="907"/>
          </w:tcPr>
          <w:p>
            <w:r/>
            <w:r>
              <w:rPr>
                <w:sz w:val="17"/>
              </w:rPr>
              <w:t>+0.029</w:t>
            </w:r>
          </w:p>
        </w:tc>
        <w:tc>
          <w:tcPr>
            <w:tcW w:type="dxa" w:w="907"/>
          </w:tcPr>
          <w:p>
            <w:r/>
            <w:r>
              <w:rPr>
                <w:sz w:val="17"/>
              </w:rPr>
              <w:t>+0.006</w:t>
            </w:r>
          </w:p>
        </w:tc>
        <w:tc>
          <w:tcPr>
            <w:tcW w:type="dxa" w:w="3402"/>
          </w:tcPr>
          <w:p>
            <w:r/>
            <w:r>
              <w:rPr>
                <w:sz w:val="17"/>
              </w:rPr>
              <w:t>下滑全由持续机构自身造成；权重与进入（信托公司高ROA离群）部分对冲</w:t>
            </w:r>
          </w:p>
        </w:tc>
      </w:tr>
      <w:tr>
        <w:tc>
          <w:tcPr>
            <w:tcW w:type="dxa" w:w="1701"/>
          </w:tcPr>
          <w:p>
            <w:r/>
            <w:r>
              <w:rPr>
                <w:sz w:val="17"/>
              </w:rPr>
              <w:t>非应计/资产 %</w:t>
            </w:r>
          </w:p>
        </w:tc>
        <w:tc>
          <w:tcPr>
            <w:tcW w:type="dxa" w:w="1020"/>
          </w:tcPr>
          <w:p>
            <w:r/>
            <w:r>
              <w:rPr>
                <w:sz w:val="17"/>
              </w:rPr>
              <w:t>+0.133</w:t>
            </w:r>
          </w:p>
        </w:tc>
        <w:tc>
          <w:tcPr>
            <w:tcW w:type="dxa" w:w="1701"/>
          </w:tcPr>
          <w:p>
            <w:r/>
            <w:r>
              <w:rPr>
                <w:sz w:val="17"/>
              </w:rPr>
              <w:t>+0.113 (85%)</w:t>
            </w:r>
          </w:p>
        </w:tc>
        <w:tc>
          <w:tcPr>
            <w:tcW w:type="dxa" w:w="1247"/>
          </w:tcPr>
          <w:p>
            <w:r/>
            <w:r>
              <w:rPr>
                <w:sz w:val="17"/>
              </w:rPr>
              <w:t>+0.033</w:t>
            </w:r>
          </w:p>
        </w:tc>
        <w:tc>
          <w:tcPr>
            <w:tcW w:type="dxa" w:w="907"/>
          </w:tcPr>
          <w:p>
            <w:r/>
            <w:r>
              <w:rPr>
                <w:sz w:val="17"/>
              </w:rPr>
              <w:t>+0.004</w:t>
            </w:r>
          </w:p>
        </w:tc>
        <w:tc>
          <w:tcPr>
            <w:tcW w:type="dxa" w:w="907"/>
          </w:tcPr>
          <w:p>
            <w:r/>
            <w:r>
              <w:rPr>
                <w:sz w:val="17"/>
              </w:rPr>
              <w:t>-0.017</w:t>
            </w:r>
          </w:p>
        </w:tc>
        <w:tc>
          <w:tcPr>
            <w:tcW w:type="dxa" w:w="3402"/>
          </w:tcPr>
          <w:p>
            <w:r/>
            <w:r>
              <w:rPr>
                <w:sz w:val="17"/>
              </w:rPr>
              <w:t>信用恶化85%为持续机构自身现象</w:t>
            </w:r>
          </w:p>
        </w:tc>
      </w:tr>
      <w:tr>
        <w:tc>
          <w:tcPr>
            <w:tcW w:type="dxa" w:w="1701"/>
          </w:tcPr>
          <w:p>
            <w:r/>
            <w:r>
              <w:rPr>
                <w:sz w:val="17"/>
              </w:rPr>
              <w:t>NCL/贷款 %</w:t>
            </w:r>
          </w:p>
        </w:tc>
        <w:tc>
          <w:tcPr>
            <w:tcW w:type="dxa" w:w="1020"/>
          </w:tcPr>
          <w:p>
            <w:r/>
            <w:r>
              <w:rPr>
                <w:sz w:val="17"/>
              </w:rPr>
              <w:t>+0.150</w:t>
            </w:r>
          </w:p>
        </w:tc>
        <w:tc>
          <w:tcPr>
            <w:tcW w:type="dxa" w:w="1701"/>
          </w:tcPr>
          <w:p>
            <w:r/>
            <w:r>
              <w:rPr>
                <w:sz w:val="17"/>
              </w:rPr>
              <w:t>+0.123 (82%)</w:t>
            </w:r>
          </w:p>
        </w:tc>
        <w:tc>
          <w:tcPr>
            <w:tcW w:type="dxa" w:w="1247"/>
          </w:tcPr>
          <w:p>
            <w:r/>
            <w:r>
              <w:rPr>
                <w:sz w:val="17"/>
              </w:rPr>
              <w:t>+0.046</w:t>
            </w:r>
          </w:p>
        </w:tc>
        <w:tc>
          <w:tcPr>
            <w:tcW w:type="dxa" w:w="907"/>
          </w:tcPr>
          <w:p>
            <w:r/>
            <w:r>
              <w:rPr>
                <w:sz w:val="17"/>
              </w:rPr>
              <w:t>+0.005</w:t>
            </w:r>
          </w:p>
        </w:tc>
        <w:tc>
          <w:tcPr>
            <w:tcW w:type="dxa" w:w="907"/>
          </w:tcPr>
          <w:p>
            <w:r/>
            <w:r>
              <w:rPr>
                <w:sz w:val="17"/>
              </w:rPr>
              <w:t>-0.024</w:t>
            </w:r>
          </w:p>
        </w:tc>
        <w:tc>
          <w:tcPr>
            <w:tcW w:type="dxa" w:w="3402"/>
          </w:tcPr>
          <w:p>
            <w:r/>
            <w:r>
              <w:rPr>
                <w:sz w:val="17"/>
              </w:rPr>
              <w:t>同上</w:t>
            </w:r>
          </w:p>
        </w:tc>
      </w:tr>
      <w:tr>
        <w:tc>
          <w:tcPr>
            <w:tcW w:type="dxa" w:w="1701"/>
          </w:tcPr>
          <w:p>
            <w:r/>
            <w:r>
              <w:rPr>
                <w:sz w:val="17"/>
              </w:rPr>
              <w:t>净核销/贷款 %</w:t>
            </w:r>
          </w:p>
        </w:tc>
        <w:tc>
          <w:tcPr>
            <w:tcW w:type="dxa" w:w="1020"/>
          </w:tcPr>
          <w:p>
            <w:r/>
            <w:r>
              <w:rPr>
                <w:sz w:val="17"/>
              </w:rPr>
              <w:t>+0.036</w:t>
            </w:r>
          </w:p>
        </w:tc>
        <w:tc>
          <w:tcPr>
            <w:tcW w:type="dxa" w:w="1701"/>
          </w:tcPr>
          <w:p>
            <w:r/>
            <w:r>
              <w:rPr>
                <w:sz w:val="17"/>
              </w:rPr>
              <w:t>+0.027 (75%)</w:t>
            </w:r>
          </w:p>
        </w:tc>
        <w:tc>
          <w:tcPr>
            <w:tcW w:type="dxa" w:w="1247"/>
          </w:tcPr>
          <w:p>
            <w:r/>
            <w:r>
              <w:rPr>
                <w:sz w:val="17"/>
              </w:rPr>
              <w:t>+0.010</w:t>
            </w:r>
          </w:p>
        </w:tc>
        <w:tc>
          <w:tcPr>
            <w:tcW w:type="dxa" w:w="907"/>
          </w:tcPr>
          <w:p>
            <w:r/>
            <w:r>
              <w:rPr>
                <w:sz w:val="17"/>
              </w:rPr>
              <w:t>-0.001</w:t>
            </w:r>
          </w:p>
        </w:tc>
        <w:tc>
          <w:tcPr>
            <w:tcW w:type="dxa" w:w="907"/>
          </w:tcPr>
          <w:p>
            <w:r/>
            <w:r>
              <w:rPr>
                <w:sz w:val="17"/>
              </w:rPr>
              <w:t>-0.000</w:t>
            </w:r>
          </w:p>
        </w:tc>
        <w:tc>
          <w:tcPr>
            <w:tcW w:type="dxa" w:w="3402"/>
          </w:tcPr>
          <w:p>
            <w:r/>
            <w:r>
              <w:rPr>
                <w:sz w:val="17"/>
              </w:rPr>
              <w:t>同上</w:t>
            </w:r>
          </w:p>
        </w:tc>
      </w:tr>
      <w:tr>
        <w:tc>
          <w:tcPr>
            <w:tcW w:type="dxa" w:w="1701"/>
          </w:tcPr>
          <w:p>
            <w:r/>
            <w:r>
              <w:rPr>
                <w:sz w:val="17"/>
              </w:rPr>
              <w:t>权益/资产 %</w:t>
            </w:r>
          </w:p>
        </w:tc>
        <w:tc>
          <w:tcPr>
            <w:tcW w:type="dxa" w:w="1020"/>
          </w:tcPr>
          <w:p>
            <w:r/>
            <w:r>
              <w:rPr>
                <w:sz w:val="17"/>
              </w:rPr>
              <w:t>+0.067</w:t>
            </w:r>
          </w:p>
        </w:tc>
        <w:tc>
          <w:tcPr>
            <w:tcW w:type="dxa" w:w="1701"/>
          </w:tcPr>
          <w:p>
            <w:r/>
            <w:r>
              <w:rPr>
                <w:sz w:val="17"/>
              </w:rPr>
              <w:t>-0.189</w:t>
            </w:r>
          </w:p>
        </w:tc>
        <w:tc>
          <w:tcPr>
            <w:tcW w:type="dxa" w:w="1247"/>
          </w:tcPr>
          <w:p>
            <w:r/>
            <w:r>
              <w:rPr>
                <w:sz w:val="17"/>
              </w:rPr>
              <w:t>+0.476</w:t>
            </w:r>
          </w:p>
        </w:tc>
        <w:tc>
          <w:tcPr>
            <w:tcW w:type="dxa" w:w="907"/>
          </w:tcPr>
          <w:p>
            <w:r/>
            <w:r>
              <w:rPr>
                <w:sz w:val="17"/>
              </w:rPr>
              <w:t>+0.157</w:t>
            </w:r>
          </w:p>
        </w:tc>
        <w:tc>
          <w:tcPr>
            <w:tcW w:type="dxa" w:w="907"/>
          </w:tcPr>
          <w:p>
            <w:r/>
            <w:r>
              <w:rPr>
                <w:sz w:val="17"/>
              </w:rPr>
              <w:t>-0.376</w:t>
            </w:r>
          </w:p>
        </w:tc>
        <w:tc>
          <w:tcPr>
            <w:tcW w:type="dxa" w:w="3402"/>
          </w:tcPr>
          <w:p>
            <w:r/>
            <w:r>
              <w:rPr>
                <w:sz w:val="17"/>
              </w:rPr>
              <w:t>资本比率持平是构成假象；持续机构自身资本缓冲变薄</w:t>
            </w:r>
          </w:p>
        </w:tc>
      </w:tr>
      <w:tr>
        <w:tc>
          <w:tcPr>
            <w:tcW w:type="dxa" w:w="1701"/>
          </w:tcPr>
          <w:p>
            <w:r/>
            <w:r>
              <w:rPr>
                <w:sz w:val="17"/>
              </w:rPr>
              <w:t>贷款/存款 %</w:t>
            </w:r>
          </w:p>
        </w:tc>
        <w:tc>
          <w:tcPr>
            <w:tcW w:type="dxa" w:w="1020"/>
          </w:tcPr>
          <w:p>
            <w:r/>
            <w:r>
              <w:rPr>
                <w:sz w:val="17"/>
              </w:rPr>
              <w:t>+13.29</w:t>
            </w:r>
          </w:p>
        </w:tc>
        <w:tc>
          <w:tcPr>
            <w:tcW w:type="dxa" w:w="1701"/>
          </w:tcPr>
          <w:p>
            <w:r/>
            <w:r>
              <w:rPr>
                <w:sz w:val="17"/>
              </w:rPr>
              <w:t>+12.06 (91%)</w:t>
            </w:r>
          </w:p>
        </w:tc>
        <w:tc>
          <w:tcPr>
            <w:tcW w:type="dxa" w:w="1247"/>
          </w:tcPr>
          <w:p>
            <w:r/>
            <w:r>
              <w:rPr>
                <w:sz w:val="17"/>
              </w:rPr>
              <w:t>+4.62</w:t>
            </w:r>
          </w:p>
        </w:tc>
        <w:tc>
          <w:tcPr>
            <w:tcW w:type="dxa" w:w="907"/>
          </w:tcPr>
          <w:p>
            <w:r/>
            <w:r>
              <w:rPr>
                <w:sz w:val="17"/>
              </w:rPr>
              <w:t>+0.44</w:t>
            </w:r>
          </w:p>
        </w:tc>
        <w:tc>
          <w:tcPr>
            <w:tcW w:type="dxa" w:w="907"/>
          </w:tcPr>
          <w:p>
            <w:r/>
            <w:r>
              <w:rPr>
                <w:sz w:val="17"/>
              </w:rPr>
              <w:t>-3.83</w:t>
            </w:r>
          </w:p>
        </w:tc>
        <w:tc>
          <w:tcPr>
            <w:tcW w:type="dxa" w:w="3402"/>
          </w:tcPr>
          <w:p>
            <w:r/>
            <w:r>
              <w:rPr>
                <w:sz w:val="17"/>
              </w:rPr>
              <w:t>资金趋紧为真实普遍现象</w:t>
            </w:r>
          </w:p>
        </w:tc>
      </w:tr>
      <w:tr>
        <w:tc>
          <w:tcPr>
            <w:tcW w:type="dxa" w:w="1701"/>
          </w:tcPr>
          <w:p>
            <w:r/>
            <w:r>
              <w:rPr>
                <w:sz w:val="17"/>
              </w:rPr>
              <w:t>NIM %</w:t>
            </w:r>
          </w:p>
        </w:tc>
        <w:tc>
          <w:tcPr>
            <w:tcW w:type="dxa" w:w="1020"/>
          </w:tcPr>
          <w:p>
            <w:r/>
            <w:r>
              <w:rPr>
                <w:sz w:val="17"/>
              </w:rPr>
              <w:t>+0.013</w:t>
            </w:r>
          </w:p>
        </w:tc>
        <w:tc>
          <w:tcPr>
            <w:tcW w:type="dxa" w:w="1701"/>
          </w:tcPr>
          <w:p>
            <w:r/>
            <w:r>
              <w:rPr>
                <w:sz w:val="17"/>
              </w:rPr>
              <w:t>-0.089</w:t>
            </w:r>
          </w:p>
        </w:tc>
        <w:tc>
          <w:tcPr>
            <w:tcW w:type="dxa" w:w="1247"/>
          </w:tcPr>
          <w:p>
            <w:r/>
            <w:r>
              <w:rPr>
                <w:sz w:val="17"/>
              </w:rPr>
              <w:t>+0.219</w:t>
            </w:r>
          </w:p>
        </w:tc>
        <w:tc>
          <w:tcPr>
            <w:tcW w:type="dxa" w:w="907"/>
          </w:tcPr>
          <w:p>
            <w:r/>
            <w:r>
              <w:rPr>
                <w:sz w:val="17"/>
              </w:rPr>
              <w:t>+0.021</w:t>
            </w:r>
          </w:p>
        </w:tc>
        <w:tc>
          <w:tcPr>
            <w:tcW w:type="dxa" w:w="907"/>
          </w:tcPr>
          <w:p>
            <w:r/>
            <w:r>
              <w:rPr>
                <w:sz w:val="17"/>
              </w:rPr>
              <w:t>-0.139</w:t>
            </w:r>
          </w:p>
        </w:tc>
        <w:tc>
          <w:tcPr>
            <w:tcW w:type="dxa" w:w="3402"/>
          </w:tcPr>
          <w:p>
            <w:r/>
            <w:r>
              <w:rPr>
                <w:sz w:val="17"/>
              </w:rPr>
              <w:t>表观持平=自身压缩+低NIM退出机构移除+高NIM并购方并表的混合</w:t>
            </w:r>
          </w:p>
        </w:tc>
      </w:tr>
      <w:tr>
        <w:tc>
          <w:tcPr>
            <w:tcW w:type="dxa" w:w="1701"/>
          </w:tcPr>
          <w:p>
            <w:r/>
            <w:r>
              <w:rPr>
                <w:sz w:val="17"/>
              </w:rPr>
              <w:t>贷款/资产 %</w:t>
            </w:r>
          </w:p>
        </w:tc>
        <w:tc>
          <w:tcPr>
            <w:tcW w:type="dxa" w:w="1020"/>
          </w:tcPr>
          <w:p>
            <w:r/>
            <w:r>
              <w:rPr>
                <w:sz w:val="17"/>
              </w:rPr>
              <w:t>+7.41</w:t>
            </w:r>
          </w:p>
        </w:tc>
        <w:tc>
          <w:tcPr>
            <w:tcW w:type="dxa" w:w="1701"/>
          </w:tcPr>
          <w:p>
            <w:r/>
            <w:r>
              <w:rPr>
                <w:sz w:val="17"/>
              </w:rPr>
              <w:t>+6.62 (89%)</w:t>
            </w:r>
          </w:p>
        </w:tc>
        <w:tc>
          <w:tcPr>
            <w:tcW w:type="dxa" w:w="1247"/>
          </w:tcPr>
          <w:p>
            <w:r/>
            <w:r>
              <w:rPr>
                <w:sz w:val="17"/>
              </w:rPr>
              <w:t>+3.70</w:t>
            </w:r>
          </w:p>
        </w:tc>
        <w:tc>
          <w:tcPr>
            <w:tcW w:type="dxa" w:w="907"/>
          </w:tcPr>
          <w:p>
            <w:r/>
            <w:r>
              <w:rPr>
                <w:sz w:val="17"/>
              </w:rPr>
              <w:t>+0.36</w:t>
            </w:r>
          </w:p>
        </w:tc>
        <w:tc>
          <w:tcPr>
            <w:tcW w:type="dxa" w:w="907"/>
          </w:tcPr>
          <w:p>
            <w:r/>
            <w:r>
              <w:rPr>
                <w:sz w:val="17"/>
              </w:rPr>
              <w:t>-3.28</w:t>
            </w:r>
          </w:p>
        </w:tc>
        <w:tc>
          <w:tcPr>
            <w:tcW w:type="dxa" w:w="3402"/>
          </w:tcPr>
          <w:p>
            <w:r/>
            <w:r>
              <w:rPr>
                <w:sz w:val="17"/>
              </w:rPr>
              <w:t>资产端向贷款集中为持续机构自身选择</w:t>
            </w:r>
          </w:p>
        </w:tc>
      </w:tr>
    </w:tbl>
    <w:p/>
    <w:p>
      <w:r>
        <w:rPr>
          <w:b w:val="0"/>
          <w:i w:val="0"/>
        </w:rPr>
        <w:t>稳健性：改用2022Q2→2025Q2窗口，信用类指标"持续机构自身占比"仍为73%-86%，结论不变。恒定口径（仅49家持续机构，剔除进入退出）单独分解：ROA Δ-11.7bp中自身表现-18.0bp、组内权重+6.3bp；非应计/资产Δ+13.8bp中自身表现+11.8bp。总体结论：本组合2022-2025年的信用恶化、资金趋紧与盈利中枢下移是持续机构自身经营结果；样本构成变化（并购、de novo进入、退出）主要影响资本比率与NIM的表观水平，方向上是"美化"而非"恶化"组合数字。</w:t>
      </w:r>
    </w:p>
    <w:p>
      <w:pPr>
        <w:pStyle w:val="Heading1"/>
      </w:pPr>
      <w:r>
        <w:t>5. 主要变化驱动机构与持续落后机构</w:t>
      </w:r>
    </w:p>
    <w:p>
      <w:pPr>
        <w:pStyle w:val="Heading2"/>
      </w:pPr>
      <w:r>
        <w:t>5.1 组合变化的主要驱动机构（按影响量级）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shd w:val="clear" w:fill="1F4E79"/>
          </w:tcPr>
          <w:p>
            <w:r/>
            <w:r>
              <w:rPr>
                <w:b/>
                <w:color w:val="FFFFFF"/>
                <w:sz w:val="17"/>
              </w:rPr>
              <w:t>机构（州）</w:t>
            </w:r>
          </w:p>
        </w:tc>
        <w:tc>
          <w:tcPr>
            <w:tcW w:type="dxa" w:w="1020"/>
            <w:shd w:val="clear" w:fill="1F4E79"/>
          </w:tcPr>
          <w:p>
            <w:r/>
            <w:r>
              <w:rPr>
                <w:b/>
                <w:color w:val="FFFFFF"/>
                <w:sz w:val="17"/>
              </w:rPr>
              <w:t>期末资产</w:t>
            </w:r>
          </w:p>
        </w:tc>
        <w:tc>
          <w:tcPr>
            <w:tcW w:type="dxa" w:w="2494"/>
            <w:shd w:val="clear" w:fill="1F4E79"/>
          </w:tcPr>
          <w:p>
            <w:r/>
            <w:r>
              <w:rPr>
                <w:b/>
                <w:color w:val="FFFFFF"/>
                <w:sz w:val="17"/>
              </w:rPr>
              <w:t>角色</w:t>
            </w:r>
          </w:p>
        </w:tc>
        <w:tc>
          <w:tcPr>
            <w:tcW w:type="dxa" w:w="5329"/>
            <w:shd w:val="clear" w:fill="1F4E79"/>
          </w:tcPr>
          <w:p>
            <w:r/>
            <w:r>
              <w:rPr>
                <w:b/>
                <w:color w:val="FFFFFF"/>
                <w:sz w:val="17"/>
              </w:rPr>
              <w:t>关键证据（期初→期末）</w:t>
            </w:r>
          </w:p>
        </w:tc>
      </w:tr>
      <w:tr>
        <w:tc>
          <w:tcPr>
            <w:tcW w:type="dxa" w:w="2041"/>
          </w:tcPr>
          <w:p>
            <w:r/>
            <w:r>
              <w:rPr>
                <w:sz w:val="17"/>
              </w:rPr>
              <w:t>Bangor Savings Bank (ME)</w:t>
            </w:r>
          </w:p>
        </w:tc>
        <w:tc>
          <w:tcPr>
            <w:tcW w:type="dxa" w:w="1020"/>
          </w:tcPr>
          <w:p>
            <w:r/>
            <w:r>
              <w:rPr>
                <w:sz w:val="17"/>
              </w:rPr>
              <w:t>$7.34B</w:t>
            </w:r>
          </w:p>
        </w:tc>
        <w:tc>
          <w:tcPr>
            <w:tcW w:type="dxa" w:w="2494"/>
          </w:tcPr>
          <w:p>
            <w:r/>
            <w:r>
              <w:rPr>
                <w:sz w:val="17"/>
              </w:rPr>
              <w:t>最大机构；信用与资本双恶化，组合信用跳升的最大单一来源</w:t>
            </w:r>
          </w:p>
        </w:tc>
        <w:tc>
          <w:tcPr>
            <w:tcW w:type="dxa" w:w="5329"/>
          </w:tcPr>
          <w:p>
            <w:r/>
            <w:r>
              <w:rPr>
                <w:sz w:val="17"/>
              </w:rPr>
              <w:t>ROA 0.60%→0.11%；非应计/贷款0.13%→0.66%（24Q4→25Q2 +$27.0M）；总风险资本13.12%→11.15%；权益/资产6.46%→6.37%；拨备/贷款0.75%</w:t>
            </w:r>
          </w:p>
        </w:tc>
      </w:tr>
      <w:tr>
        <w:tc>
          <w:tcPr>
            <w:tcW w:type="dxa" w:w="2041"/>
          </w:tcPr>
          <w:p>
            <w:r/>
            <w:r>
              <w:rPr>
                <w:sz w:val="17"/>
              </w:rPr>
              <w:t>Camden National Bank (ME)</w:t>
            </w:r>
          </w:p>
        </w:tc>
        <w:tc>
          <w:tcPr>
            <w:tcW w:type="dxa" w:w="1020"/>
          </w:tcPr>
          <w:p>
            <w:r/>
            <w:r>
              <w:rPr>
                <w:sz w:val="17"/>
              </w:rPr>
              <w:t>$6.90B</w:t>
            </w:r>
          </w:p>
        </w:tc>
        <w:tc>
          <w:tcPr>
            <w:tcW w:type="dxa" w:w="2494"/>
          </w:tcPr>
          <w:p>
            <w:r/>
            <w:r>
              <w:rPr>
                <w:sz w:val="17"/>
              </w:rPr>
              <w:t>并购方（Northway）；组合权重与信用跳升的第二来源</w:t>
            </w:r>
          </w:p>
        </w:tc>
        <w:tc>
          <w:tcPr>
            <w:tcW w:type="dxa" w:w="5329"/>
          </w:tcPr>
          <w:p>
            <w:r/>
            <w:r>
              <w:rPr>
                <w:sz w:val="17"/>
              </w:rPr>
              <w:t>ROA 1.28%→0.72%；非应计/贷款0.13%→0.37%（+$13.3M）；2025YTD拨备/资产0.59%组合最高；NIM 2.93%→3.34%（并购资产重定价）</w:t>
            </w:r>
          </w:p>
        </w:tc>
      </w:tr>
      <w:tr>
        <w:tc>
          <w:tcPr>
            <w:tcW w:type="dxa" w:w="2041"/>
          </w:tcPr>
          <w:p>
            <w:r/>
            <w:r>
              <w:rPr>
                <w:sz w:val="17"/>
              </w:rPr>
              <w:t>Northeast Bank (ME)</w:t>
            </w:r>
          </w:p>
        </w:tc>
        <w:tc>
          <w:tcPr>
            <w:tcW w:type="dxa" w:w="1020"/>
          </w:tcPr>
          <w:p>
            <w:r/>
            <w:r>
              <w:rPr>
                <w:sz w:val="17"/>
              </w:rPr>
              <w:t>$4.28B</w:t>
            </w:r>
          </w:p>
        </w:tc>
        <w:tc>
          <w:tcPr>
            <w:tcW w:type="dxa" w:w="2494"/>
          </w:tcPr>
          <w:p>
            <w:r/>
            <w:r>
              <w:rPr>
                <w:sz w:val="17"/>
              </w:rPr>
              <w:t>高增长高收益引擎，但慢性高非应计</w:t>
            </w:r>
          </w:p>
        </w:tc>
        <w:tc>
          <w:tcPr>
            <w:tcW w:type="dxa" w:w="5329"/>
          </w:tcPr>
          <w:p>
            <w:r/>
            <w:r>
              <w:rPr>
                <w:sz w:val="17"/>
              </w:rPr>
              <w:t>资产CAGR 36%；ROA 2.80%→2.09%（组合最高梯队）；非应计/贷款长期0.9-1.5%；贷存比111%；拨备覆盖1.37x</w:t>
            </w:r>
          </w:p>
        </w:tc>
      </w:tr>
      <w:tr>
        <w:tc>
          <w:tcPr>
            <w:tcW w:type="dxa" w:w="2041"/>
          </w:tcPr>
          <w:p>
            <w:r/>
            <w:r>
              <w:rPr>
                <w:sz w:val="17"/>
              </w:rPr>
              <w:t>Maine Community Bank (ME)</w:t>
            </w:r>
          </w:p>
        </w:tc>
        <w:tc>
          <w:tcPr>
            <w:tcW w:type="dxa" w:w="1020"/>
          </w:tcPr>
          <w:p>
            <w:r/>
            <w:r>
              <w:rPr>
                <w:sz w:val="17"/>
              </w:rPr>
              <w:t>$2.76B</w:t>
            </w:r>
          </w:p>
        </w:tc>
        <w:tc>
          <w:tcPr>
            <w:tcW w:type="dxa" w:w="2494"/>
          </w:tcPr>
          <w:p>
            <w:r/>
            <w:r>
              <w:rPr>
                <w:sz w:val="17"/>
              </w:rPr>
              <w:t>并购方（Gorham）；规模+131%、资本比率大幅下降</w:t>
            </w:r>
          </w:p>
        </w:tc>
        <w:tc>
          <w:tcPr>
            <w:tcW w:type="dxa" w:w="5329"/>
          </w:tcPr>
          <w:p>
            <w:r/>
            <w:r>
              <w:rPr>
                <w:sz w:val="17"/>
              </w:rPr>
              <w:t>权益/资产12.96%→9.10%；非应计/贷款0.22%→0.62%（+$10.7M）；拨备/贷款0.93%→0.70%；未申报总风险资本</w:t>
            </w:r>
          </w:p>
        </w:tc>
      </w:tr>
      <w:tr>
        <w:tc>
          <w:tcPr>
            <w:tcW w:type="dxa" w:w="2041"/>
          </w:tcPr>
          <w:p>
            <w:r/>
            <w:r>
              <w:rPr>
                <w:sz w:val="17"/>
              </w:rPr>
              <w:t>Union Bank (VT)</w:t>
            </w:r>
          </w:p>
        </w:tc>
        <w:tc>
          <w:tcPr>
            <w:tcW w:type="dxa" w:w="1020"/>
          </w:tcPr>
          <w:p>
            <w:r/>
            <w:r>
              <w:rPr>
                <w:sz w:val="17"/>
              </w:rPr>
              <w:t>$1.48B</w:t>
            </w:r>
          </w:p>
        </w:tc>
        <w:tc>
          <w:tcPr>
            <w:tcW w:type="dxa" w:w="2494"/>
          </w:tcPr>
          <w:p>
            <w:r/>
            <w:r>
              <w:rPr>
                <w:sz w:val="17"/>
              </w:rPr>
              <w:t>信用跳升+资本薄+贷存比紧的三重叠加</w:t>
            </w:r>
          </w:p>
        </w:tc>
        <w:tc>
          <w:tcPr>
            <w:tcW w:type="dxa" w:w="5329"/>
          </w:tcPr>
          <w:p>
            <w:r/>
            <w:r>
              <w:rPr>
                <w:sz w:val="17"/>
              </w:rPr>
              <w:t>非应计/贷款0.53%→1.36%（24Q4→25Q2 +$13.5M）；拨备覆盖0.55x；权益/资产5.85%；总风险资本14.79%→12.62%；贷存比101%</w:t>
            </w:r>
          </w:p>
        </w:tc>
      </w:tr>
      <w:tr>
        <w:tc>
          <w:tcPr>
            <w:tcW w:type="dxa" w:w="2041"/>
          </w:tcPr>
          <w:p>
            <w:r/>
            <w:r>
              <w:rPr>
                <w:sz w:val="17"/>
              </w:rPr>
              <w:t>Mascoma Bank (NH)</w:t>
            </w:r>
          </w:p>
        </w:tc>
        <w:tc>
          <w:tcPr>
            <w:tcW w:type="dxa" w:w="1020"/>
          </w:tcPr>
          <w:p>
            <w:r/>
            <w:r>
              <w:rPr>
                <w:sz w:val="17"/>
              </w:rPr>
              <w:t>$2.90B</w:t>
            </w:r>
          </w:p>
        </w:tc>
        <w:tc>
          <w:tcPr>
            <w:tcW w:type="dxa" w:w="2494"/>
          </w:tcPr>
          <w:p>
            <w:r/>
            <w:r>
              <w:rPr>
                <w:sz w:val="17"/>
              </w:rPr>
              <w:t>盈利持续四年下滑的大型机构</w:t>
            </w:r>
          </w:p>
        </w:tc>
        <w:tc>
          <w:tcPr>
            <w:tcW w:type="dxa" w:w="5329"/>
          </w:tcPr>
          <w:p>
            <w:r/>
            <w:r>
              <w:rPr>
                <w:sz w:val="17"/>
              </w:rPr>
              <w:t>ROA 0.73%→0.34%；总风险资本14.33%→12.64%；信用指标干净（非应计0.06%）——问题在利差与费用而非信用</w:t>
            </w:r>
          </w:p>
        </w:tc>
      </w:tr>
    </w:tbl>
    <w:p/>
    <w:p>
      <w:pPr>
        <w:pStyle w:val="Heading2"/>
      </w:pPr>
      <w:r>
        <w:t>5.2 持续落后机构（全窗口多维度落后）</w:t>
      </w:r>
    </w:p>
    <w:p>
      <w:pPr>
        <w:pStyle w:val="ListBullet"/>
      </w:pPr>
      <w:r>
        <w:t>Merrimack County Savings Bank (NH, $1.35B)：ROA 0.83%→0.26%，非应计/贷款0.05%→0.67%，贷存比104%，NIM -64bp——盈利、信用、资金三维同时恶化，是持续机构中综合评分第二。</w:t>
      </w:r>
    </w:p>
    <w:p>
      <w:pPr>
        <w:pStyle w:val="ListBullet"/>
      </w:pPr>
      <w:r>
        <w:t>Salem Co-operative Bank (NH, $0.57B)：期初期末ROA均为负组（0.27%→-0.31%），NIM 1.92%（组合倒数第二），贷存比121%（组合最高），非应计/贷款0.43%，拨备/贷款0.63%——盈利模式与资金结构双重问题。</w:t>
      </w:r>
    </w:p>
    <w:p>
      <w:pPr>
        <w:pStyle w:val="ListBullet"/>
      </w:pPr>
      <w:r>
        <w:t>Piscataqua Savings Bank (NH, $0.37B)：ROA 0.62%→-0.30%，NIM 1.30%组合最低，资产三年几乎零增长——抵押贷款专长模式的极端落后者，但资本尚厚（权益/资产10.9%）且信用干净。</w:t>
      </w:r>
    </w:p>
    <w:p>
      <w:pPr>
        <w:pStyle w:val="ListBullet"/>
      </w:pPr>
      <w:r>
        <w:t>First Seacoast Bank (NH, $0.61B)：ROA 0.32%→-0.39%，权益/资产7.36%偏薄，机构主数据显示2025H1净亏损——持续亏损+资本薄的组合。</w:t>
      </w:r>
    </w:p>
    <w:p>
      <w:pPr>
        <w:pStyle w:val="ListBullet"/>
      </w:pPr>
      <w:r>
        <w:t>Brattleboro Savings &amp; Loan (VT, $0.28B)：ROA 0.31%→-0.33%，24Q4→25Q2非应计上升（0.02%→0.12%），NIM高（4.0%）但费用/拨备侵蚀。</w:t>
      </w:r>
    </w:p>
    <w:p>
      <w:pPr>
        <w:pStyle w:val="ListBullet"/>
      </w:pPr>
      <w:r>
        <w:t>小机构慢性信用问题：First Federal S&amp;L of Bath（NCL 2.11%）、Bar Harbor S&amp;L（非应计/贷款1.57%、贷存比118%）、First National Bank of Orwell（NCL 1.99%、拨备覆盖0.65x）、Franklin Savings Bank ME（非应计/贷款1.29%、拨备覆盖0.55x、贷存比109%）——单家规模小（$0.1-0.8B）但指标为组合最差梯队。</w:t>
      </w:r>
    </w:p>
    <w:p>
      <w:r>
        <w:rPr>
          <w:b w:val="0"/>
          <w:i w:val="0"/>
        </w:rPr>
        <w:t>注：Profile Bank（ROA -0.03%）列入观察名单，Rockland Savings（+0.10%）等接近零的小机构维持常规监测；Walden Mutual Bank（de novo，2025Q2 ROA -0.24%、非应计/贷款2.67%）因开业不足三年、指标受爬坡期扭曲，按de novo单独监测而非按持续机构标尺评价。</w:t>
      </w:r>
    </w:p>
    <w:p>
      <w:pPr>
        <w:pStyle w:val="Heading1"/>
      </w:pPr>
      <w:r>
        <w:t>6. 重要变化的竞争性解释与证据评估</w:t>
      </w:r>
    </w:p>
    <w:p>
      <w:r>
        <w:rPr>
          <w:b w:val="0"/>
          <w:i/>
        </w:rPr>
        <w:t>以下对四项重要变化给出竞争性解释，标注现有证据支持度。观察性归因不等于因果证明；凡标"待验证"者已转化为跟进简报中的信息请求。</w:t>
      </w:r>
    </w:p>
    <w:p>
      <w:pPr>
        <w:pStyle w:val="Heading2"/>
      </w:pPr>
      <w:r>
        <w:t>6.1 2024Q4→2025Q2非应计集中跳升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shd w:val="clear" w:fill="1F4E79"/>
          </w:tcPr>
          <w:p>
            <w:r/>
            <w:r>
              <w:rPr>
                <w:b/>
                <w:color w:val="FFFFFF"/>
                <w:sz w:val="17"/>
              </w:rPr>
              <w:t>竞争性解释</w:t>
            </w:r>
          </w:p>
        </w:tc>
        <w:tc>
          <w:tcPr>
            <w:tcW w:type="dxa" w:w="2948"/>
            <w:shd w:val="clear" w:fill="1F4E79"/>
          </w:tcPr>
          <w:p>
            <w:r/>
            <w:r>
              <w:rPr>
                <w:b/>
                <w:color w:val="FFFFFF"/>
                <w:sz w:val="17"/>
              </w:rPr>
              <w:t>支持证据</w:t>
            </w:r>
          </w:p>
        </w:tc>
        <w:tc>
          <w:tcPr>
            <w:tcW w:type="dxa" w:w="2608"/>
            <w:shd w:val="clear" w:fill="1F4E79"/>
          </w:tcPr>
          <w:p>
            <w:r/>
            <w:r>
              <w:rPr>
                <w:b/>
                <w:color w:val="FFFFFF"/>
                <w:sz w:val="17"/>
              </w:rPr>
              <w:t>反证/缺口</w:t>
            </w:r>
          </w:p>
        </w:tc>
        <w:tc>
          <w:tcPr>
            <w:tcW w:type="dxa" w:w="1928"/>
            <w:shd w:val="clear" w:fill="1F4E79"/>
          </w:tcPr>
          <w:p>
            <w:r/>
            <w:r>
              <w:rPr>
                <w:b/>
                <w:color w:val="FFFFFF"/>
                <w:sz w:val="17"/>
              </w:rPr>
              <w:t>评估</w:t>
            </w:r>
          </w:p>
        </w:tc>
      </w:tr>
      <w:tr>
        <w:tc>
          <w:tcPr>
            <w:tcW w:type="dxa" w:w="2041"/>
          </w:tcPr>
          <w:p>
            <w:r/>
            <w:r>
              <w:rPr>
                <w:sz w:val="17"/>
              </w:rPr>
              <w:t>A. 宏观利率滞后效应：高利率环境下借款人偿债能力恶化，商业房地产再融资压力显性化</w:t>
            </w:r>
          </w:p>
        </w:tc>
        <w:tc>
          <w:tcPr>
            <w:tcW w:type="dxa" w:w="2948"/>
          </w:tcPr>
          <w:p>
            <w:r/>
            <w:r>
              <w:rPr>
                <w:sz w:val="17"/>
              </w:rPr>
              <w:t>跳升时间与利率高位平台期吻合；30-89天逾期同步翻倍（前端管道变宽）；恶化分布于ME/NH/VT多州多机构（19家持续机构非应计上升超10bp）；净核销同向上升说明并非仅账面重分类</w:t>
            </w:r>
          </w:p>
        </w:tc>
        <w:tc>
          <w:tcPr>
            <w:tcW w:type="dxa" w:w="2608"/>
          </w:tcPr>
          <w:p>
            <w:r/>
            <w:r>
              <w:rPr>
                <w:sz w:val="17"/>
              </w:rPr>
              <w:t>数据无借款人层面偿债指标；无法排除各机构独立原因恰好同期发生</w:t>
            </w:r>
          </w:p>
        </w:tc>
        <w:tc>
          <w:tcPr>
            <w:tcW w:type="dxa" w:w="1928"/>
          </w:tcPr>
          <w:p>
            <w:r/>
            <w:r>
              <w:rPr>
                <w:sz w:val="17"/>
              </w:rPr>
              <w:t>获支持（作为背景性共同因素），但不足以解释为何集中于少数大额机构</w:t>
            </w:r>
          </w:p>
        </w:tc>
      </w:tr>
      <w:tr>
        <w:tc>
          <w:tcPr>
            <w:tcW w:type="dxa" w:w="2041"/>
          </w:tcPr>
          <w:p>
            <w:r/>
            <w:r>
              <w:rPr>
                <w:sz w:val="17"/>
              </w:rPr>
              <w:t>B. 并购整合效应：Camden/Maine Community吸收被并方贷款组合，按公允价值与CECL入账后问题资产显性化</w:t>
            </w:r>
          </w:p>
        </w:tc>
        <w:tc>
          <w:tcPr>
            <w:tcW w:type="dxa" w:w="2948"/>
          </w:tcPr>
          <w:p>
            <w:r/>
            <w:r>
              <w:rPr>
                <w:sz w:val="17"/>
              </w:rPr>
              <w:t>两家并购方非应计跳升均发生在并购生效后首两个季度（+$13.3M/+$10.7M）；Camden同期拨备/资产0.59%为组合最高（典型并购后补提模式）</w:t>
            </w:r>
          </w:p>
        </w:tc>
        <w:tc>
          <w:tcPr>
            <w:tcW w:type="dxa" w:w="2608"/>
          </w:tcPr>
          <w:p>
            <w:r/>
            <w:r>
              <w:rPr>
                <w:sz w:val="17"/>
              </w:rPr>
              <w:t>Bangor Savings与Union Bank同期跳升与并购无关（两家均为持续独立机构）；被并方（Northway/Gorham）退出前自身非应计并未异常（24Q4分别为0.34%/0.48%）</w:t>
            </w:r>
          </w:p>
        </w:tc>
        <w:tc>
          <w:tcPr>
            <w:tcW w:type="dxa" w:w="1928"/>
          </w:tcPr>
          <w:p>
            <w:r/>
            <w:r>
              <w:rPr>
                <w:sz w:val="17"/>
              </w:rPr>
              <w:t>部分支持——能解释两家并购方，不能解释其余跳升</w:t>
            </w:r>
          </w:p>
        </w:tc>
      </w:tr>
      <w:tr>
        <w:tc>
          <w:tcPr>
            <w:tcW w:type="dxa" w:w="2041"/>
          </w:tcPr>
          <w:p>
            <w:r/>
            <w:r>
              <w:rPr>
                <w:sz w:val="17"/>
              </w:rPr>
              <w:t>C. 分类政策收紧/监管检查压力：机构主动将逾期贷款移入非应计</w:t>
            </w:r>
          </w:p>
        </w:tc>
        <w:tc>
          <w:tcPr>
            <w:tcW w:type="dxa" w:w="2948"/>
          </w:tcPr>
          <w:p>
            <w:r/>
            <w:r>
              <w:rPr>
                <w:sz w:val="17"/>
              </w:rPr>
              <w:t>跳升集中且幅度大（Bangor单季5倍）与政策切换形态相符</w:t>
            </w:r>
          </w:p>
        </w:tc>
        <w:tc>
          <w:tcPr>
            <w:tcW w:type="dxa" w:w="2608"/>
          </w:tcPr>
          <w:p>
            <w:r/>
            <w:r>
              <w:rPr>
                <w:sz w:val="17"/>
              </w:rPr>
              <w:t>30-89天逾期桶同步上升（若为搬运，前端桶应下降）；净核销上升（政策收紧通常不伴随核销加速）；无检查时间表数据</w:t>
            </w:r>
          </w:p>
        </w:tc>
        <w:tc>
          <w:tcPr>
            <w:tcW w:type="dxa" w:w="1928"/>
          </w:tcPr>
          <w:p>
            <w:r/>
            <w:r>
              <w:rPr>
                <w:sz w:val="17"/>
              </w:rPr>
              <w:t>证据不足，倾向不支持为主因；需机构层面确认（已列入信息请求）</w:t>
            </w:r>
          </w:p>
        </w:tc>
      </w:tr>
      <w:tr>
        <w:tc>
          <w:tcPr>
            <w:tcW w:type="dxa" w:w="2041"/>
          </w:tcPr>
          <w:p>
            <w:r/>
            <w:r>
              <w:rPr>
                <w:sz w:val="17"/>
              </w:rPr>
              <w:t>D. 大额单笔/集中敞口出险（如单一商业房地产项目）</w:t>
            </w:r>
          </w:p>
        </w:tc>
        <w:tc>
          <w:tcPr>
            <w:tcW w:type="dxa" w:w="2948"/>
          </w:tcPr>
          <w:p>
            <w:r/>
            <w:r>
              <w:rPr>
                <w:sz w:val="17"/>
              </w:rPr>
              <w:t>Bangor(+$27M)、Union(+$13.5M)的跳升量级相对其组合规模，与少数大额关系出险形态一致</w:t>
            </w:r>
          </w:p>
        </w:tc>
        <w:tc>
          <w:tcPr>
            <w:tcW w:type="dxa" w:w="2608"/>
          </w:tcPr>
          <w:p>
            <w:r/>
            <w:r>
              <w:rPr>
                <w:sz w:val="17"/>
              </w:rPr>
              <w:t>无贷款级明细，无法直接验证</w:t>
            </w:r>
          </w:p>
        </w:tc>
        <w:tc>
          <w:tcPr>
            <w:tcW w:type="dxa" w:w="1928"/>
          </w:tcPr>
          <w:p>
            <w:r/>
            <w:r>
              <w:rPr>
                <w:sz w:val="17"/>
              </w:rPr>
              <w:t>高度可能但完全待验证——这是Tier 1尽调的首要问题</w:t>
            </w:r>
          </w:p>
        </w:tc>
      </w:tr>
    </w:tbl>
    <w:p/>
    <w:p>
      <w:r>
        <w:rPr>
          <w:b w:val="0"/>
          <w:i w:val="0"/>
        </w:rPr>
        <w:t>综合判断：最可能是A（共同背景）+D（机构特异性大额出险）叠加，B解释并购方部分，C作为次要因素待排除。对管理层的含义：不应将本轮恶化简单解读为"地区性系统冲击"而等待自然修复，需逐户核实大额非应计的可回收性与抵押物状况（参照RMS手册§3.2对分类与抵押物估值的要求）。</w:t>
      </w:r>
    </w:p>
    <w:p>
      <w:pPr>
        <w:pStyle w:val="Heading2"/>
      </w:pPr>
      <w:r>
        <w:t>6.2 NIM的V形路径（2022年3.31%→2024Q1低谷2.75%→2025Q2回升3.17%）</w:t>
      </w:r>
    </w:p>
    <w:p>
      <w:pPr>
        <w:pStyle w:val="ListBullet"/>
      </w:pPr>
      <w:r>
        <w:t>解释A（利率周期负债重定价）：存款成本2022-2024年随加息上升快于资产收益重定价，2024年下半年起随降息预期/存款成本回落而修复。支持：路径与政策利率周期高度吻合；96%机构同向改善说明是共同因素。评估：获强支持，为主导解释。</w:t>
      </w:r>
    </w:p>
    <w:p>
      <w:pPr>
        <w:pStyle w:val="ListBullet"/>
      </w:pPr>
      <w:r>
        <w:t>解释B（资金结构恶化）：贷存比81%→95%迫使边际资金转向高成本批发来源。支持：贷存比升幅最大的机构（Salem Co-op 98.7%→121.4%、Merrimack 97.7%→104.3%）NIM压缩也最深。评估：获支持，为放大机制，与A不互斥。</w:t>
      </w:r>
    </w:p>
    <w:p>
      <w:pPr>
        <w:pStyle w:val="ListBullet"/>
      </w:pPr>
      <w:r>
        <w:t>解释C（并购资产重定价抬升表观NIM）：Maine Community NIM 3.00%→4.42%、Camden 2.45%→3.34%，公允价值入账的收购贷款收益率较高。支持：两家为2025年NIM改善最大者；分解中"退出机构移除"贡献-13.9bp（低NIM的Northway/Gorham退出本身抬高组合值）。评估：获支持——意味着组合NIM回升3.17%中有相当部分并非内生改善，持续机构自身NIM仍低于基期（恒定口径Δ仅+0.6bp）。</w:t>
      </w:r>
    </w:p>
    <w:p>
      <w:pPr>
        <w:pStyle w:val="Heading2"/>
      </w:pPr>
      <w:r>
        <w:t>6.3 ROA中枢下移（0.90%→0.72-0.76%）</w:t>
      </w:r>
    </w:p>
    <w:p>
      <w:pPr>
        <w:pStyle w:val="ListBullet"/>
      </w:pPr>
      <w:r>
        <w:t>解释A（NIM压缩主导）：分解显示持续机构自身ROA -18.0bp（恒定口径），与NIM低谷同步；2025年随NIM回升部分修复。获强支持。</w:t>
      </w:r>
    </w:p>
    <w:p>
      <w:pPr>
        <w:pStyle w:val="ListBullet"/>
      </w:pPr>
      <w:r>
        <w:t>解释B（拨备与费用上升）：组合YTD拨备/资产0.016%→0.124%（+11bp），量级上足以解释约六成ROA降幅；拨备上升集中于2025年（Camden 0.59%）。获支持，为2025年ROA修复不完整的主因。</w:t>
      </w:r>
    </w:p>
    <w:p>
      <w:pPr>
        <w:pStyle w:val="ListBullet"/>
      </w:pPr>
      <w:r>
        <w:t>解释C（构成变化压低表观ROA）：分解中权重项为+8.9bp、进入+2.9bp——构成实际是抬高而非压低组合ROA（高ROA机构增长更快、信托公司离群值进入）。不支持"构成拖累"叙事；反过来说，若无构成对冲，组合ROA降幅会更深。</w:t>
      </w:r>
    </w:p>
    <w:p>
      <w:pPr>
        <w:pStyle w:val="Heading2"/>
      </w:pPr>
      <w:r>
        <w:t>6.4 资本比率表观稳定（权益/资产9.88%→9.94%）</w:t>
      </w:r>
    </w:p>
    <w:p>
      <w:pPr>
        <w:pStyle w:val="ListBullet"/>
      </w:pPr>
      <w:r>
        <w:t>解释A（构成假象）：持续机构自身-18.9bp，权重+47.6bp（低资本被并方退出、高资本机构份额扩大）、进入+15.7bp（de novo初始资本厚）、退出-37.6bp。分解直接证实。评估：获强支持，为正确解读。</w:t>
      </w:r>
    </w:p>
    <w:p>
      <w:pPr>
        <w:pStyle w:val="ListBullet"/>
      </w:pPr>
      <w:r>
        <w:t>解释B（行业性资本积累）：若为真实积累，恒定口径应同步上升，但恒定口径9.96%→9.86%。不支持。</w:t>
      </w:r>
    </w:p>
    <w:p>
      <w:pPr>
        <w:pStyle w:val="ListBullet"/>
      </w:pPr>
      <w:r>
        <w:t>管理含义：勿以组合资本"稳定"为由降低资本监测强度；对Bangor（11.15%）、Union（权益5.85%）、Maine Community（9.10%且未申报RBC）应单独设定资本缓冲预警线。</w:t>
      </w:r>
    </w:p>
    <w:p>
      <w:pPr>
        <w:pStyle w:val="Heading1"/>
      </w:pPr>
      <w:r>
        <w:t>7. 建议与优先行动方案</w:t>
      </w:r>
    </w:p>
    <w:p>
      <w:pPr>
        <w:pStyle w:val="Heading2"/>
      </w:pPr>
      <w:r>
        <w:t>7.1 组合层面建议</w:t>
      </w:r>
    </w:p>
    <w:p>
      <w:pPr>
        <w:pStyle w:val="ListBullet"/>
      </w:pPr>
      <w:r>
        <w:rPr>
          <w:b/>
        </w:rPr>
        <w:t>R1 复核资源按"风险贡献"而非平均分配——</w:t>
      </w:r>
      <w:r>
        <w:t>资源配置：</w:t>
      </w:r>
    </w:p>
    <w:p>
      <w:r>
        <w:rPr>
          <w:b w:val="0"/>
          <w:i w:val="0"/>
        </w:rPr>
        <w:t>Tier 1五家（Bangor Savings、Camden National、Union Bank、Maine Community、Mascoma，占持续机构资产30.2%）执行深度尽调（贷款级抽样、资本规划、资金结构）；Tier 2五家（Merrimack County、Salem Co-operative、Northfield、Norway Savings、Franklin Savings ME，累计39.1%）执行定向复核（非应计明细+拨备充足性）；12家观察名单季度监测。详见配套简报。</w:t>
      </w:r>
    </w:p>
    <w:p>
      <w:pPr>
        <w:pStyle w:val="ListBullet"/>
      </w:pPr>
      <w:r>
        <w:t>R2 信用集中监测：建立"非应计跳升机构"月度追踪（2024Q4→2025Q2跳升&gt;$2.5M的8家），要求机构提供大额关系清单、抵押物最新估值与分类依据（对照RMS手册§3.2分类标准与OCC非应计界定）。</w:t>
      </w:r>
    </w:p>
    <w:p>
      <w:pPr>
        <w:pStyle w:val="ListBullet"/>
      </w:pPr>
      <w:r>
        <w:t>R3 拨备充足性复核：对拨备覆盖非应计&lt;1.0x的机构（Union 0.55x、Franklin ME 0.55x、First Federal Bath 0.63x、Bar Harbor S&amp;L 0.50x、Norway 0.99x）优先复核ALLL方法论与Q因素假设。</w:t>
      </w:r>
    </w:p>
    <w:p>
      <w:pPr>
        <w:pStyle w:val="ListBullet"/>
      </w:pPr>
      <w:r>
        <w:t>R4 资金结构预警：对贷存比&gt;100%的20家机构设置季度资金计划审查，要求提供批发资金来源、期限结构与未保险存款占比（当前数据缺口）。</w:t>
      </w:r>
    </w:p>
    <w:p>
      <w:pPr>
        <w:pStyle w:val="ListBullet"/>
      </w:pPr>
      <w:r>
        <w:t>R5 资本缓冲预警：对总风险资本&lt;12%（Bangor、Ledyard、Union、Mascoma、Camden）或权益/资产&lt;7%（Bangor、Union、Auburn、First Seacoast）的机构设定资本恢复触发线，并购方（Maine Community）要求提交整合期资本规划。</w:t>
      </w:r>
    </w:p>
    <w:p>
      <w:pPr>
        <w:pStyle w:val="ListBullet"/>
      </w:pPr>
      <w:r>
        <w:t>R6 口径纪律：组合资本与NIM指标今后同时报告"恒定口径"与"报告口径"两条线，避免构成效应掩盖持续机构趋势（本次分析显示两者方向可相反）。</w:t>
      </w:r>
    </w:p>
    <w:p>
      <w:pPr>
        <w:pStyle w:val="Heading2"/>
      </w:pPr>
      <w:r>
        <w:t>7.2 机构层面建议（示例，完整版见跟进简报）</w:t>
      </w:r>
    </w:p>
    <w:p>
      <w:pPr>
        <w:pStyle w:val="ListBullet"/>
      </w:pPr>
      <w:r>
        <w:t>Bangor Savings：90天内完成大额非应计关系的逐户可回收性评估与抵押物重估；提交资本恢复路径（11.15%→12%+）；解释2024Q4→2025Q2非应计+$27M的构成（单笔vs扩散）。</w:t>
      </w:r>
    </w:p>
    <w:p>
      <w:pPr>
        <w:pStyle w:val="ListBullet"/>
      </w:pPr>
      <w:r>
        <w:t>Union Bank：核实非应计1.36%的部门/地理分布；评估0.55x拨备覆盖的补提计划；权益/资产5.85%下的资本来源（控股公司Union Bankshares注资能力）。</w:t>
      </w:r>
    </w:p>
    <w:p>
      <w:pPr>
        <w:pStyle w:val="ListBullet"/>
      </w:pPr>
      <w:r>
        <w:t>Camden National / Maine Community Bank：区分并购入账效应与存量恶化——要求提供被并组合（Northway/Gorham）与原生组合分开的信用表现；Maine Community需解释权益/资产骤降3.9pp的构成（并购对价/无形资产/CECL首日拨备）。</w:t>
      </w:r>
    </w:p>
    <w:p>
      <w:pPr>
        <w:pStyle w:val="ListBullet"/>
      </w:pPr>
      <w:r>
        <w:t>Mascoma Bank：盈利诊断（NIM 2.84%尚可但ROA仅0.34%——费用率与效率比问题），非信用类整改。</w:t>
      </w:r>
    </w:p>
    <w:p>
      <w:pPr>
        <w:pStyle w:val="ListBullet"/>
      </w:pPr>
      <w:r>
        <w:t>Salem Co-operative / Piscataqua / First Seacoast：三家亏损的NH抵押贷款/合作类机构，评估业务模式可持续性、利率风险对冲与费用结构；Salem需同时给出贷存比121%的资金整改计划。</w:t>
      </w:r>
    </w:p>
    <w:p>
      <w:pPr>
        <w:pStyle w:val="Heading1"/>
      </w:pPr>
      <w:r>
        <w:t>8. 假设与限制（结论的边界条件）</w:t>
      </w:r>
    </w:p>
    <w:p>
      <w:pPr>
        <w:pStyle w:val="ListBullet"/>
      </w:pPr>
      <w:r>
        <w:t>本分析为假设性内部管理评估，基于给定数据快照的回顾分析（数据快照晚于评估期末，含期末后事件信息），不是期末当时可得信息的回测，不构成对全国银行业的外推、投资建议或监管评级。</w:t>
      </w:r>
    </w:p>
    <w:p>
      <w:pPr>
        <w:pStyle w:val="ListBullet"/>
      </w:pPr>
      <w:r>
        <w:t>输入CSV视为FDIC申报数据的完整准确快照，未与原始call report逐项核对；如源数据存在申报错误或后续重述，结论需相应修正。</w:t>
      </w:r>
    </w:p>
    <w:p>
      <w:pPr>
        <w:pStyle w:val="ListBullet"/>
      </w:pPr>
      <w:r>
        <w:t>无贷款级、证券级明细：非应计跳升的"大额单笔vs普遍扩散"判别、抵押物充足性、 concentrations均无法从现有数据直接验证，相关解释已明确标注为待验证。</w:t>
      </w:r>
    </w:p>
    <w:p>
      <w:pPr>
        <w:pStyle w:val="ListBullet"/>
      </w:pPr>
      <w:r>
        <w:t>YTD年化比率的季节性：Q1数值为单季年化，波动天然偏大；2025Q1组合ROA 0.651%不应解读为新的下行拐点（Q2已回升至0.762%）。</w:t>
      </w:r>
    </w:p>
    <w:p>
      <w:pPr>
        <w:pStyle w:val="ListBullet"/>
      </w:pPr>
      <w:r>
        <w:t>并购会计影响：2025Q1起Camden与Maine Community的并表数据含公允价值调整与CECL首日拨备，其跨期变化不能与持续独立机构等同解读。</w:t>
      </w:r>
    </w:p>
    <w:p>
      <w:pPr>
        <w:pStyle w:val="ListBullet"/>
      </w:pPr>
      <w:r>
        <w:t>资本数据不完整：15家期末未申报总风险资本比率（约21%资产），资本结论对该子集依赖权益/资产替代，敏感度较高。</w:t>
      </w:r>
    </w:p>
    <w:p>
      <w:pPr>
        <w:pStyle w:val="ListBullet"/>
      </w:pPr>
      <w:r>
        <w:t>Fidelity Personal Trust（信托公司，$73M资产、ROA约28%）为业务模式离群值：所有组合比率均采用资产加权以抑制其影响；任何简单平均口径会被其严重扭曲（期末简单平均ROA 1.12% vs 加权0.76%）。</w:t>
      </w:r>
    </w:p>
    <w:p>
      <w:pPr>
        <w:pStyle w:val="ListBullet"/>
      </w:pPr>
      <w:r>
        <w:t>机构主数据快照的DATEUPDT至2025年9-10月，含期末后结构事件（如Woodsville→Bar Harbor合并2025-07-31、Bank of Burlington更名2025-07-24）：本分析仅将其用于机构对应与"期末后需跟进事项"，未纳入期末财务结论。</w:t>
      </w:r>
    </w:p>
    <w:p>
      <w:pPr>
        <w:pStyle w:val="ListBullet"/>
      </w:pPr>
      <w:r>
        <w:t>优先评分的权重（30/20/20/15/10/5）为分析设定，非监管标准；改变权重会改变名单中段排序，但Tier 1五家在信用、资本、规模重要性三套权重下均稳健入选。</w:t>
      </w:r>
    </w:p>
    <w:p>
      <w:pPr>
        <w:pStyle w:val="Heading1"/>
      </w:pPr>
      <w:r>
        <w:t>9. 附录：指标定义速查</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4E79"/>
          </w:tcPr>
          <w:p>
            <w:r/>
            <w:r>
              <w:rPr>
                <w:b/>
                <w:color w:val="FFFFFF"/>
                <w:sz w:val="17"/>
              </w:rPr>
              <w:t>指标</w:t>
            </w:r>
          </w:p>
        </w:tc>
        <w:tc>
          <w:tcPr>
            <w:tcW w:type="dxa" w:w="3402"/>
            <w:shd w:val="clear" w:fill="1F4E79"/>
          </w:tcPr>
          <w:p>
            <w:r/>
            <w:r>
              <w:rPr>
                <w:b/>
                <w:color w:val="FFFFFF"/>
                <w:sz w:val="17"/>
              </w:rPr>
              <w:t>定义/公式</w:t>
            </w:r>
          </w:p>
        </w:tc>
        <w:tc>
          <w:tcPr>
            <w:tcW w:type="dxa" w:w="4422"/>
            <w:shd w:val="clear" w:fill="1F4E79"/>
          </w:tcPr>
          <w:p>
            <w:r/>
            <w:r>
              <w:rPr>
                <w:b/>
                <w:color w:val="FFFFFF"/>
                <w:sz w:val="17"/>
              </w:rPr>
              <w:t>口径说明</w:t>
            </w:r>
          </w:p>
        </w:tc>
      </w:tr>
      <w:tr>
        <w:tc>
          <w:tcPr>
            <w:tcW w:type="dxa" w:w="1928"/>
          </w:tcPr>
          <w:p>
            <w:r/>
            <w:r>
              <w:rPr>
                <w:sz w:val="17"/>
              </w:rPr>
              <w:t>ROA / ROE</w:t>
            </w:r>
          </w:p>
        </w:tc>
        <w:tc>
          <w:tcPr>
            <w:tcW w:type="dxa" w:w="3402"/>
          </w:tcPr>
          <w:p>
            <w:r/>
            <w:r>
              <w:rPr>
                <w:sz w:val="17"/>
              </w:rPr>
              <w:t>FDIC字段ROA/ROE</w:t>
            </w:r>
          </w:p>
        </w:tc>
        <w:tc>
          <w:tcPr>
            <w:tcW w:type="dxa" w:w="4422"/>
          </w:tcPr>
          <w:p>
            <w:r/>
            <w:r>
              <w:rPr>
                <w:sz w:val="17"/>
              </w:rPr>
              <w:t>YTD年化%；组合值按总资产加权</w:t>
            </w:r>
          </w:p>
        </w:tc>
      </w:tr>
      <w:tr>
        <w:tc>
          <w:tcPr>
            <w:tcW w:type="dxa" w:w="1928"/>
          </w:tcPr>
          <w:p>
            <w:r/>
            <w:r>
              <w:rPr>
                <w:sz w:val="17"/>
              </w:rPr>
              <w:t>NIM</w:t>
            </w:r>
          </w:p>
        </w:tc>
        <w:tc>
          <w:tcPr>
            <w:tcW w:type="dxa" w:w="3402"/>
          </w:tcPr>
          <w:p>
            <w:r/>
            <w:r>
              <w:rPr>
                <w:sz w:val="17"/>
              </w:rPr>
              <w:t>FDIC字段NIMY</w:t>
            </w:r>
          </w:p>
        </w:tc>
        <w:tc>
          <w:tcPr>
            <w:tcW w:type="dxa" w:w="4422"/>
          </w:tcPr>
          <w:p>
            <w:r/>
            <w:r>
              <w:rPr>
                <w:sz w:val="17"/>
              </w:rPr>
              <w:t>YTD年化%</w:t>
            </w:r>
          </w:p>
        </w:tc>
      </w:tr>
      <w:tr>
        <w:tc>
          <w:tcPr>
            <w:tcW w:type="dxa" w:w="1928"/>
          </w:tcPr>
          <w:p>
            <w:r/>
            <w:r>
              <w:rPr>
                <w:sz w:val="17"/>
              </w:rPr>
              <w:t>非应计/资产</w:t>
            </w:r>
          </w:p>
        </w:tc>
        <w:tc>
          <w:tcPr>
            <w:tcW w:type="dxa" w:w="3402"/>
          </w:tcPr>
          <w:p>
            <w:r/>
            <w:r>
              <w:rPr>
                <w:sz w:val="17"/>
              </w:rPr>
              <w:t>NAASSET / ASSET</w:t>
            </w:r>
          </w:p>
        </w:tc>
        <w:tc>
          <w:tcPr>
            <w:tcW w:type="dxa" w:w="4422"/>
          </w:tcPr>
          <w:p>
            <w:r/>
            <w:r>
              <w:rPr>
                <w:sz w:val="17"/>
              </w:rPr>
              <w:t>NAASSET=非应计资产总额(千$)</w:t>
            </w:r>
          </w:p>
        </w:tc>
      </w:tr>
      <w:tr>
        <w:tc>
          <w:tcPr>
            <w:tcW w:type="dxa" w:w="1928"/>
          </w:tcPr>
          <w:p>
            <w:r/>
            <w:r>
              <w:rPr>
                <w:sz w:val="17"/>
              </w:rPr>
              <w:t>非应计/贷款</w:t>
            </w:r>
          </w:p>
        </w:tc>
        <w:tc>
          <w:tcPr>
            <w:tcW w:type="dxa" w:w="3402"/>
          </w:tcPr>
          <w:p>
            <w:r/>
            <w:r>
              <w:rPr>
                <w:sz w:val="17"/>
              </w:rPr>
              <w:t>NAASSET / LNLSGR</w:t>
            </w:r>
          </w:p>
        </w:tc>
        <w:tc>
          <w:tcPr>
            <w:tcW w:type="dxa" w:w="4422"/>
          </w:tcPr>
          <w:p>
            <w:r/>
            <w:r>
              <w:rPr>
                <w:sz w:val="17"/>
              </w:rPr>
              <w:t>LNLSGR=贷款与租赁总额</w:t>
            </w:r>
          </w:p>
        </w:tc>
      </w:tr>
      <w:tr>
        <w:tc>
          <w:tcPr>
            <w:tcW w:type="dxa" w:w="1928"/>
          </w:tcPr>
          <w:p>
            <w:r/>
            <w:r>
              <w:rPr>
                <w:sz w:val="17"/>
              </w:rPr>
              <w:t>NCL</w:t>
            </w:r>
          </w:p>
        </w:tc>
        <w:tc>
          <w:tcPr>
            <w:tcW w:type="dxa" w:w="3402"/>
          </w:tcPr>
          <w:p>
            <w:r/>
            <w:r>
              <w:rPr>
                <w:sz w:val="17"/>
              </w:rPr>
              <w:t>(NAASSET + P9ASSET) / LNLSGR</w:t>
            </w:r>
          </w:p>
        </w:tc>
        <w:tc>
          <w:tcPr>
            <w:tcW w:type="dxa" w:w="4422"/>
          </w:tcPr>
          <w:p>
            <w:r/>
            <w:r>
              <w:rPr>
                <w:sz w:val="17"/>
              </w:rPr>
              <w:t>与FDIC字段NCLNLSR复算一致；P9=90天以上逾期</w:t>
            </w:r>
          </w:p>
        </w:tc>
      </w:tr>
      <w:tr>
        <w:tc>
          <w:tcPr>
            <w:tcW w:type="dxa" w:w="1928"/>
          </w:tcPr>
          <w:p>
            <w:r/>
            <w:r>
              <w:rPr>
                <w:sz w:val="17"/>
              </w:rPr>
              <w:t>净核销/贷款</w:t>
            </w:r>
          </w:p>
        </w:tc>
        <w:tc>
          <w:tcPr>
            <w:tcW w:type="dxa" w:w="3402"/>
          </w:tcPr>
          <w:p>
            <w:r/>
            <w:r>
              <w:rPr>
                <w:sz w:val="17"/>
              </w:rPr>
              <w:t>NTLNLS / LNLSGR × 4</w:t>
            </w:r>
          </w:p>
        </w:tc>
        <w:tc>
          <w:tcPr>
            <w:tcW w:type="dxa" w:w="4422"/>
          </w:tcPr>
          <w:p>
            <w:r/>
            <w:r>
              <w:rPr>
                <w:sz w:val="17"/>
              </w:rPr>
              <w:t>NTLNLS为当季净核销，×4年化</w:t>
            </w:r>
          </w:p>
        </w:tc>
      </w:tr>
      <w:tr>
        <w:tc>
          <w:tcPr>
            <w:tcW w:type="dxa" w:w="1928"/>
          </w:tcPr>
          <w:p>
            <w:r/>
            <w:r>
              <w:rPr>
                <w:sz w:val="17"/>
              </w:rPr>
              <w:t>拨备/贷款 (ALLL)</w:t>
            </w:r>
          </w:p>
        </w:tc>
        <w:tc>
          <w:tcPr>
            <w:tcW w:type="dxa" w:w="3402"/>
          </w:tcPr>
          <w:p>
            <w:r/>
            <w:r>
              <w:rPr>
                <w:sz w:val="17"/>
              </w:rPr>
              <w:t>LNATRESR</w:t>
            </w:r>
          </w:p>
        </w:tc>
        <w:tc>
          <w:tcPr>
            <w:tcW w:type="dxa" w:w="4422"/>
          </w:tcPr>
          <w:p>
            <w:r/>
            <w:r>
              <w:rPr>
                <w:sz w:val="17"/>
              </w:rPr>
              <w:t>期末余额比率，FDIC直接提供%</w:t>
            </w:r>
          </w:p>
        </w:tc>
      </w:tr>
      <w:tr>
        <w:tc>
          <w:tcPr>
            <w:tcW w:type="dxa" w:w="1928"/>
          </w:tcPr>
          <w:p>
            <w:r/>
            <w:r>
              <w:rPr>
                <w:sz w:val="17"/>
              </w:rPr>
              <w:t>拨备对非应计覆盖</w:t>
            </w:r>
          </w:p>
        </w:tc>
        <w:tc>
          <w:tcPr>
            <w:tcW w:type="dxa" w:w="3402"/>
          </w:tcPr>
          <w:p>
            <w:r/>
            <w:r>
              <w:rPr>
                <w:sz w:val="17"/>
              </w:rPr>
              <w:t>(LNATRESR%×LNLSGR) / NAASSET</w:t>
            </w:r>
          </w:p>
        </w:tc>
        <w:tc>
          <w:tcPr>
            <w:tcW w:type="dxa" w:w="4422"/>
          </w:tcPr>
          <w:p>
            <w:r/>
            <w:r>
              <w:rPr>
                <w:sz w:val="17"/>
              </w:rPr>
              <w:t>倍数；期末组合2.02x（期初3.29x）</w:t>
            </w:r>
          </w:p>
        </w:tc>
      </w:tr>
      <w:tr>
        <w:tc>
          <w:tcPr>
            <w:tcW w:type="dxa" w:w="1928"/>
          </w:tcPr>
          <w:p>
            <w:r/>
            <w:r>
              <w:rPr>
                <w:sz w:val="17"/>
              </w:rPr>
              <w:t>拨备/资产</w:t>
            </w:r>
          </w:p>
        </w:tc>
        <w:tc>
          <w:tcPr>
            <w:tcW w:type="dxa" w:w="3402"/>
          </w:tcPr>
          <w:p>
            <w:r/>
            <w:r>
              <w:rPr>
                <w:sz w:val="17"/>
              </w:rPr>
              <w:t>ELNATRY</w:t>
            </w:r>
          </w:p>
        </w:tc>
        <w:tc>
          <w:tcPr>
            <w:tcW w:type="dxa" w:w="4422"/>
          </w:tcPr>
          <w:p>
            <w:r/>
            <w:r>
              <w:rPr>
                <w:sz w:val="17"/>
              </w:rPr>
              <w:t>YTD信用损失拨备/平均资产，未年化</w:t>
            </w:r>
          </w:p>
        </w:tc>
      </w:tr>
      <w:tr>
        <w:tc>
          <w:tcPr>
            <w:tcW w:type="dxa" w:w="1928"/>
          </w:tcPr>
          <w:p>
            <w:r/>
            <w:r>
              <w:rPr>
                <w:sz w:val="17"/>
              </w:rPr>
              <w:t>总风险资本比率</w:t>
            </w:r>
          </w:p>
        </w:tc>
        <w:tc>
          <w:tcPr>
            <w:tcW w:type="dxa" w:w="3402"/>
          </w:tcPr>
          <w:p>
            <w:r/>
            <w:r>
              <w:rPr>
                <w:sz w:val="17"/>
              </w:rPr>
              <w:t>RBCRWAJ</w:t>
            </w:r>
          </w:p>
        </w:tc>
        <w:tc>
          <w:tcPr>
            <w:tcW w:type="dxa" w:w="4422"/>
          </w:tcPr>
          <w:p>
            <w:r/>
            <w:r>
              <w:rPr>
                <w:sz w:val="17"/>
              </w:rPr>
              <w:t>=0视为未申报；组合值为申报机构资产加权</w:t>
            </w:r>
          </w:p>
        </w:tc>
      </w:tr>
      <w:tr>
        <w:tc>
          <w:tcPr>
            <w:tcW w:type="dxa" w:w="1928"/>
          </w:tcPr>
          <w:p>
            <w:r/>
            <w:r>
              <w:rPr>
                <w:sz w:val="17"/>
              </w:rPr>
              <w:t>权益/资产</w:t>
            </w:r>
          </w:p>
        </w:tc>
        <w:tc>
          <w:tcPr>
            <w:tcW w:type="dxa" w:w="3402"/>
          </w:tcPr>
          <w:p>
            <w:r/>
            <w:r>
              <w:rPr>
                <w:sz w:val="17"/>
              </w:rPr>
              <w:t>EQ / ASSET (=EQV)</w:t>
            </w:r>
          </w:p>
        </w:tc>
        <w:tc>
          <w:tcPr>
            <w:tcW w:type="dxa" w:w="4422"/>
          </w:tcPr>
          <w:p>
            <w:r/>
            <w:r>
              <w:rPr>
                <w:sz w:val="17"/>
              </w:rPr>
              <w:t>总权益资本含优先股</w:t>
            </w:r>
          </w:p>
        </w:tc>
      </w:tr>
      <w:tr>
        <w:tc>
          <w:tcPr>
            <w:tcW w:type="dxa" w:w="1928"/>
          </w:tcPr>
          <w:p>
            <w:r/>
            <w:r>
              <w:rPr>
                <w:sz w:val="17"/>
              </w:rPr>
              <w:t>贷款/存款</w:t>
            </w:r>
          </w:p>
        </w:tc>
        <w:tc>
          <w:tcPr>
            <w:tcW w:type="dxa" w:w="3402"/>
          </w:tcPr>
          <w:p>
            <w:r/>
            <w:r>
              <w:rPr>
                <w:sz w:val="17"/>
              </w:rPr>
              <w:t>LNLSGR / DEP</w:t>
            </w:r>
          </w:p>
        </w:tc>
        <w:tc>
          <w:tcPr>
            <w:tcW w:type="dxa" w:w="4422"/>
          </w:tcPr>
          <w:p>
            <w:r/>
            <w:r>
              <w:rPr>
                <w:sz w:val="17"/>
              </w:rPr>
              <w:t>DEP含境内全部存款</w:t>
            </w:r>
          </w:p>
        </w:tc>
      </w:tr>
      <w:tr>
        <w:tc>
          <w:tcPr>
            <w:tcW w:type="dxa" w:w="1928"/>
          </w:tcPr>
          <w:p>
            <w:r/>
            <w:r>
              <w:rPr>
                <w:sz w:val="17"/>
              </w:rPr>
              <w:t>Shift-share分解</w:t>
            </w:r>
          </w:p>
        </w:tc>
        <w:tc>
          <w:tcPr>
            <w:tcW w:type="dxa" w:w="3402"/>
          </w:tcPr>
          <w:p>
            <w:r/>
            <w:r>
              <w:rPr>
                <w:sz w:val="17"/>
              </w:rPr>
              <w:t>Δ=Σs0·Δr(表现)+Σ(Δs)·r1(权重)+进入+退出</w:t>
            </w:r>
          </w:p>
        </w:tc>
        <w:tc>
          <w:tcPr>
            <w:tcW w:type="dxa" w:w="4422"/>
          </w:tcPr>
          <w:p>
            <w:r/>
            <w:r>
              <w:rPr>
                <w:sz w:val="17"/>
              </w:rPr>
              <w:t>s=资产(或贷款/存款)份额，r=机构比率；勾稽误差&lt;0.001pp</w:t>
            </w:r>
          </w:p>
        </w:tc>
      </w:tr>
    </w:tbl>
    <w:p/>
    <w:p>
      <w:r>
        <w:rPr>
          <w:b w:val="0"/>
          <w:i/>
        </w:rPr>
        <w:t>配套交付物：regional_bank_risk_model.xlsx（10表可复核模型）、priority_follow_up_brief.docx（90天跟进简报）。本报告全部数字可由工作簿03/04/05/07/08表复核。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