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优先跟进简报（未来90天）</w:t>
      </w:r>
    </w:p>
    <w:p>
      <w:pPr>
        <w:jc w:val="center"/>
      </w:pPr>
      <w:r>
        <w:rPr>
          <w:i/>
          <w:sz w:val="19"/>
        </w:rPr>
        <w:t>北新英格兰银行组合（VT/NH/ME，54家） | 数据截至2025-06-30 | 编制日期2026-10-22</w:t>
        <w:br/>
        <w:t>假设性内部管理分析——非监管结论、非投资建议；配套：regional_bank_risk_model.xlsx、operating_performance_diagnosis.docx</w:t>
      </w:r>
    </w:p>
    <w:p>
      <w:pPr>
        <w:pStyle w:val="Heading1"/>
      </w:pPr>
      <w:r>
        <w:t>一、优先范围的选定与依据</w:t>
      </w:r>
    </w:p>
    <w:p>
      <w:r>
        <w:rPr>
          <w:b w:val="0"/>
          <w:i w:val="0"/>
        </w:rPr>
        <w:t>范围不是预设名单，而是由模型可复核地推出。选择链条（每步均可在工作簿中核验）：</w:t>
      </w:r>
    </w:p>
    <w:p>
      <w:pPr>
        <w:pStyle w:val="ListBullet"/>
      </w:pPr>
      <w:r>
        <w:t>第一步——六维优先评分（工作簿08_Priority表）：对49家持续机构在2025Q2按信用水平(30%)、信用趋势(20%)、资本(20%)、盈利(15%)、盈利趋势(10%)、资金(5%)做队列内百分位评分，得到0-100优先级分。</w:t>
      </w:r>
    </w:p>
    <w:p>
      <w:pPr>
        <w:pStyle w:val="ListBullet"/>
      </w:pPr>
      <w:r>
        <w:t>第二步——风险贡献加权：风险贡献=优先级分×ln(1+资产份额%)，防止"只看最差小行"而漏掉对组合结果影响最大的机构。</w:t>
      </w:r>
    </w:p>
    <w:p>
      <w:pPr>
        <w:pStyle w:val="ListBullet"/>
      </w:pPr>
      <w:r>
        <w:t>第三步——证据过滤与定性叠加：(a)剔除评分高但证据单薄者；(b)并购方（Camden、Maine Community）虽部分指标变化含并购会计噪音，但恰因无法区分噪音与真实恶化而需要尽调，故升入Tier 1；(c)de novo机构（Walden Mutual）爬坡期指标失真，降入单独监测；(d)慢性高非应计但盈利与拨备覆盖强的Northeast Bank降入观察名单。</w:t>
      </w:r>
    </w:p>
    <w:p>
      <w:r>
        <w:rPr>
          <w:b/>
          <w:i w:val="0"/>
        </w:rPr>
        <w:t>最终范围：Tier 1深度尽调5家（占持续机构队列资产30.2%）+ Tier 2定向复核5家（Tier1+2累计39.1%）+ 观察名单13家。三档的处置强度与资源不同。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37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档</w:t>
            </w:r>
          </w:p>
        </w:tc>
        <w:tc>
          <w:tcPr>
            <w:tcW w:type="dxa" w:w="260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机构（州）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优先级分</w:t>
            </w:r>
          </w:p>
        </w:tc>
        <w:tc>
          <w:tcPr>
            <w:tcW w:type="dxa" w:w="113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风险贡献</w:t>
            </w:r>
          </w:p>
        </w:tc>
        <w:tc>
          <w:tcPr>
            <w:tcW w:type="dxa" w:w="487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核心触发证据（2022Q1→2025Q2，除注明外）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Bangor Savings Bank (ME, $7.34B)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77.8（第1）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189.2（第1）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非应计/贷款0.13%→0.66%（25Q1→25Q2单季+$25.4M）；ROA 0.60%→0.11%；总风险资本11.15%为申报机构最低；权益/资产6.37%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Camden National Bank (ME, $6.90B)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60.7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144.1（第2）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并购Northway后非应计0.13%→0.37%（+$13.3M）；2025YTD拨备/资产0.50-0.59%组合最高；ROA 1.28%→0.72%；总风险资本14.36%→12.85%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Union Bank (VT, $1.48B)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71.3（第3）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80.4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非应计/贷款0.14%→1.28%（24Q4→25Q1单季9倍跳升）后维持1.36%；拨备覆盖0.55x；权益/资产5.85%队列最低；贷存比101%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Maine Community Bank (ME, $2.76B)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57.0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90.5（第3）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吸收Gorham后资产+131%；权益/资产12.96%→9.10%；非应计0.22%→0.62%；拨备/贷款0.97%→0.70%；总风险资本未申报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1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Mascoma Bank (NH, $2.90B)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54.5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88.7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ROA 0.73%→0.34%（连续8季&lt;0.50%，其中最近6季≤0.35%）；总风险资本14.33%→12.64%；信用干净——盈利结构问题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Merrimack County Savings (NH, $1.35B)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74.1（第2）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79.2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ROA 0.83%→0.26%；非应计/贷款0.05%→0.67%；贷存比104%；NIM -64bp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Salem Co-operative Bank (NH, $0.57B)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67.7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40.1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ROA 0.27%→-0.31%（期末亏损）；NIM 1.92%；贷存比121%队列最高；非应计/贷款0.43%；拨备/贷款0.63%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Northfield Savings Bank (VT, $1.56B)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63.2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73.6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ROA 0.66%→0.32%；非应计/贷款0.58%→0.67%持续高位；NIM 2.58%偏低；总风险资本未申报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Norway Savings Bank (ME, $2.06B)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56.4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76.9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非应计/贷款0.09%→0.69%（7倍）；拨备/贷款0.68%、覆盖0.99x偏薄；ROA尚稳0.86%——信用先行指标恶化</w:t>
            </w:r>
          </w:p>
        </w:tc>
      </w:tr>
      <w:tr>
        <w:tc>
          <w:tcPr>
            <w:tcW w:type="dxa" w:w="737"/>
          </w:tcPr>
          <w:p>
            <w:r/>
            <w:r>
              <w:rPr>
                <w:sz w:val="17"/>
              </w:rPr>
              <w:t>Tier 2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Franklin Savings Bank (ME, $0.76B)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57.5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41.7</w:t>
            </w:r>
          </w:p>
        </w:tc>
        <w:tc>
          <w:tcPr>
            <w:tcW w:type="dxa" w:w="4876"/>
          </w:tcPr>
          <w:p>
            <w:r/>
            <w:r>
              <w:rPr>
                <w:sz w:val="17"/>
              </w:rPr>
              <w:t>非应计/贷款0.40%→1.29%仍在上升（24Q4→25Q2 +$2.7M）；拨备覆盖0.55x；贷存比109%</w:t>
            </w:r>
          </w:p>
        </w:tc>
      </w:tr>
    </w:tbl>
    <w:p/>
    <w:p>
      <w:r>
        <w:rPr>
          <w:b w:val="0"/>
          <w:i w:val="0"/>
          <w:sz w:val="19"/>
        </w:rPr>
        <w:t>观察名单13家（与08_Priority表一致，季度监测，不占尽调资源）：Northeast Bank（慢性非应计约0.9-1.5%但ROA 2.09%、拨备覆盖1.37x、资产CAGR 36%——监测扩张期承保纪律）、Meredith Village Savings（ROA 0.80%→0.32%）、Saco &amp; Biddeford Savings（贷存比113%、ROE 2.6%）、Woodsville Guaranty（2025-07-31并入Bar Harbor Bank &amp; Trust——跟踪整合，期末后事件）、Piscataqua Savings（ROA -0.30%、NIM 1.30%组合最低，但资本厚且信用干净）、First Seacoast Bank（ROA -0.39%、权益/资产7.36%）、Brattleboro S&amp;L（ROA -0.33%）、Bar Harbor S&amp;L（非应计/贷款1.57%、贷存比118%）、First Federal S&amp;L of Bath（NCL 2.11%组合最高）、First National Bank of Orwell（NCL 1.99%、覆盖0.65x）、Primary Bank（NCL 2.23%，以90+逾期为主）、Auburn Savings FSB（贷存比108%、权益/资产6.10%）、Profile Bank（ROA -0.03%临界亏损，费用侵蚀型；信用干净、贷存比63%低）。</w:t>
      </w:r>
    </w:p>
    <w:p>
      <w:r>
        <w:rPr>
          <w:b w:val="0"/>
          <w:i w:val="0"/>
          <w:sz w:val="19"/>
        </w:rPr>
        <w:t>另按特殊类别监测（非持续机构队列，不参与评分）：Walden Mutual Bank（de novo 2022年10月开业，2025Q2 ROA -0.24%、非应计/贷款2.67%为$3.9M小基数——爬坡期扭曲，按de novo里程碑监测）与Bank of Burlington（de novo 2022年8月开业，2025-07-24更名The Business Bank）；以及Fidelity Personal Trust（信托公司，ROA约28%离群，仅核对申报连续性）。其余26家持续机构维持常规监测（工作簿09_Detail_Panel全量可查）。</w:t>
      </w:r>
    </w:p>
    <w:p>
      <w:pPr>
        <w:pStyle w:val="Heading1"/>
      </w:pPr>
      <w:r>
        <w:t>二、Tier 1 深度尽调（5家，30天内启动）</w:t>
      </w:r>
    </w:p>
    <w:p>
      <w:pPr>
        <w:pStyle w:val="Heading2"/>
      </w:pPr>
      <w:r>
        <w:t>2.1. Bangor Savings Bank（CERT 18408，ME·州保险储蓄机构·互助控股·73网点·$7.34B·组合最大机构）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组合重要性第一：资产份额10.4%，风险贡献分189为队列最高——其结果对组合指标的权重影响无可替代。</w:t>
      </w:r>
    </w:p>
    <w:p>
      <w:pPr>
        <w:pStyle w:val="ListBullet"/>
      </w:pPr>
      <w:r>
        <w:t>非应计单季5倍跳升：非应计余额24Q4 $6.5M→25Q1 $8.1M→25Q2 $33.5M，跳升集中于2025Q2单季（+$25.4M）；非应计/贷款0.66%，拨备覆盖降至1.13x。</w:t>
      </w:r>
    </w:p>
    <w:p>
      <w:pPr>
        <w:pStyle w:val="ListBullet"/>
      </w:pPr>
      <w:r>
        <w:t>资本为申报机构最薄：总风险资本13.12%→11.15%（队列最低），权益/资产6.37%（大队列最低），距10%"资本充足"线缓冲有限。</w:t>
      </w:r>
    </w:p>
    <w:p>
      <w:pPr>
        <w:pStyle w:val="ListBullet"/>
      </w:pPr>
      <w:r>
        <w:t>盈利长期偏弱且未受益于2025年NIM回升：ROA 0.11%（队列倒数），NIM 2.42%仍低于期初2.74%；2024Q1曾单季ROA为负。</w:t>
      </w:r>
    </w:p>
    <w:p>
      <w:pPr>
        <w:pStyle w:val="ListBullet"/>
      </w:pPr>
      <w:r>
        <w:t>拨备/贷款仅0.75%（队列中位0.90%），在非应计跳升后计提明显不足：2025YTD拨备/资产仅0.20%。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25Q2新增$25.4M非应计由多少笔关系构成？最大单笔/前十大占比？属于商业房地产、C&amp;I还是其他类别？</w:t>
      </w:r>
    </w:p>
    <w:p>
      <w:pPr>
        <w:pStyle w:val="ListBullet"/>
      </w:pPr>
      <w:r>
        <w:t>是否存在已识别的大额借款人出险（单一关系或关联组）？抵押物类型、最近估值时间与LTV？</w:t>
      </w:r>
    </w:p>
    <w:p>
      <w:pPr>
        <w:pStyle w:val="ListBullet"/>
      </w:pPr>
      <w:r>
        <w:t>在ROA 0.11%、总风险资本11.15%的情形下，管理层的资本恢复路径是什么？互助控股（MHC）结构下有无注资渠道？</w:t>
      </w:r>
    </w:p>
    <w:p>
      <w:pPr>
        <w:pStyle w:val="ListBullet"/>
      </w:pPr>
      <w:r>
        <w:t>拨备方法论是否针对新增非应计重估？0.75%的拨备/贷款与1.13x覆盖是否为管理层有意选择，依据是什么？</w:t>
      </w:r>
    </w:p>
    <w:p>
      <w:pPr>
        <w:pStyle w:val="ListBullet"/>
      </w:pPr>
      <w:r>
        <w:t>NIM持续低于同业的资产端/负债端结构原因（73网点费用负担、证券组合久期）？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25Q2非应计与前十大分类贷款明细（余额、类别、抵押物、估值日期、分类理由、减值测算）</w:t>
      </w:r>
    </w:p>
    <w:p>
      <w:pPr>
        <w:pStyle w:val="ListBullet"/>
      </w:pPr>
      <w:r>
        <w:t>ALLL方法论文档与25Q2 Q因素假设；25Q3拨备计划</w:t>
      </w:r>
    </w:p>
    <w:p>
      <w:pPr>
        <w:pStyle w:val="ListBullet"/>
      </w:pPr>
      <w:r>
        <w:t>资本规划（3年）：留存收益预测、增长假设、MHC层面支持能力</w:t>
      </w:r>
    </w:p>
    <w:p>
      <w:pPr>
        <w:pStyle w:val="ListBullet"/>
      </w:pPr>
      <w:r>
        <w:t>证券组合明细（久期、未实现损益、流动性安排）与资金来源结构（批发资金占比）</w:t>
      </w:r>
    </w:p>
    <w:p>
      <w:pPr>
        <w:pStyle w:val="ListBullet"/>
      </w:pPr>
      <w:r>
        <w:t>最近一次监管检查/信用审查报告要点与整改状态（如可提供）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30天内：完成非应计明细审阅与逐户可回收性初评（对照RMS手册§3.2分类标准：担保充分且在催收过程中的方可维持应计）；</w:t>
      </w:r>
    </w:p>
    <w:p>
      <w:pPr>
        <w:pStyle w:val="ListBullet"/>
      </w:pPr>
      <w:r>
        <w:t>60天内：独立复核ALLL充足性，形成补提需求区间估计；评估资本缓冲对$33.5M非应计全损情形的吸收能力；</w:t>
      </w:r>
    </w:p>
    <w:p>
      <w:pPr>
        <w:pStyle w:val="ListBullet"/>
      </w:pPr>
      <w:r>
        <w:t>90天内：与管理层举行资本与盈利恢复对话，设定总风险资本≥12%、拨备覆盖≥1.5x的监测触发线；若25Q3非应计继续上升或覆盖跌破1.0x，升级处置强度。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25Q3非应计余额与迁移（新增vs存量、回收vs核销）；</w:t>
      </w:r>
    </w:p>
    <w:p>
      <w:pPr>
        <w:pStyle w:val="ListBullet"/>
      </w:pPr>
      <w:r>
        <w:t>拨备计提速度是否跟上分类资产增长；</w:t>
      </w:r>
    </w:p>
    <w:p>
      <w:pPr>
        <w:pStyle w:val="ListBullet"/>
      </w:pPr>
      <w:r>
        <w:t>总风险资本与权益/资产的季度路径；</w:t>
      </w:r>
    </w:p>
    <w:p>
      <w:pPr>
        <w:pStyle w:val="ListBullet"/>
      </w:pPr>
      <w:r>
        <w:t>ROA与NIM是否随行业NIM回升而修复（若持续不修复，问题在结构而非周期）；</w:t>
      </w:r>
    </w:p>
    <w:p>
      <w:pPr>
        <w:pStyle w:val="ListBullet"/>
      </w:pPr>
      <w:r>
        <w:t>Woodsville并购（Bar Harbor承接）之外，ME大型储蓄机构间是否出现进一步整合信号。</w:t>
      </w:r>
    </w:p>
    <w:p>
      <w:pPr>
        <w:pStyle w:val="Heading2"/>
      </w:pPr>
      <w:r>
        <w:t>2.2. Camden National Bank（CERT 4255，ME·国民银行·OCC监管·Camden National Corp上市控股·74网点·$6.90B）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风险贡献第2（资产份额9.8%）：组合第二大机构，2025年1月2日吸收Northway Bank（$1.2B）后资产跳升至$6.9B。</w:t>
      </w:r>
    </w:p>
    <w:p>
      <w:pPr>
        <w:pStyle w:val="ListBullet"/>
      </w:pPr>
      <w:r>
        <w:t>并购后信用指标恶化但无法归因：非应计0.13%→0.37%（24Q4 $4.8M→25Q1 $7.3M→25Q2 $18.2M，跳升集中在并购后第二季），无法从申报数据区分被并组合恶化、存量恶化还是分类趋严。</w:t>
      </w:r>
    </w:p>
    <w:p>
      <w:pPr>
        <w:pStyle w:val="ListBullet"/>
      </w:pPr>
      <w:r>
        <w:t>拨备强度组合最高：2025YTD拨备/资产0.59%（25Q1）/0.50%（25Q2），典型并购后补提形态，但绝对水平仍提示管理层对组合质量有担忧。</w:t>
      </w:r>
    </w:p>
    <w:p>
      <w:pPr>
        <w:pStyle w:val="ListBullet"/>
      </w:pPr>
      <w:r>
        <w:t>资本被并购消耗：总风险资本14.36%→12.55%（25Q1）→12.85%；ROA 0.97%→0.53%（25Q1）→0.72%，整合成本压制盈利。</w:t>
      </w:r>
    </w:p>
    <w:p>
      <w:pPr>
        <w:pStyle w:val="ListBullet"/>
      </w:pPr>
      <w:r>
        <w:t>Northway退出前自身指标平稳（24Q4非应计/贷款0.34%、ROA 0.50%），被并组合并非明显问题资产——若25Q2跳升源于该组合，则说明尽调/入账后发现了新问题。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25Q2非应计$18.2M中，原Camden组合与继承的Northway组合各占多少？</w:t>
      </w:r>
    </w:p>
    <w:p>
      <w:pPr>
        <w:pStyle w:val="ListBullet"/>
      </w:pPr>
      <w:r>
        <w:t>被并组合的公允价值折价（credit mark）与CECL首日拨备如何设定？后续拨备释放还是补提？</w:t>
      </w:r>
    </w:p>
    <w:p>
      <w:pPr>
        <w:pStyle w:val="ListBullet"/>
      </w:pPr>
      <w:r>
        <w:t>Northway整合进度：系统并表、信贷政策统一、人员留存情况？</w:t>
      </w:r>
    </w:p>
    <w:p>
      <w:pPr>
        <w:pStyle w:val="ListBullet"/>
      </w:pPr>
      <w:r>
        <w:t>0.50-0.59%的YTD拨备/资产中，多少属于并购会计（PCD资产处理），多少属于存量组合补提？</w:t>
      </w:r>
    </w:p>
    <w:p>
      <w:pPr>
        <w:pStyle w:val="ListBullet"/>
      </w:pPr>
      <w:r>
        <w:t>上市控股（CAC）层面的资本工具与融资弹性如何支持银行层面资本恢复至13%+？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非应计与分类资产的"原生vs继承"拆分明细（25Q1、25Q2两季）</w:t>
      </w:r>
    </w:p>
    <w:p>
      <w:pPr>
        <w:pStyle w:val="ListBullet"/>
      </w:pPr>
      <w:r>
        <w:t>Northway收购的购买价格分摊（PPA）摘要：credit mark、CECL首日拨备、无形资产</w:t>
      </w:r>
    </w:p>
    <w:p>
      <w:pPr>
        <w:pStyle w:val="ListBullet"/>
      </w:pPr>
      <w:r>
        <w:t>整合项目状态报告与整合成本预算执行</w:t>
      </w:r>
    </w:p>
    <w:p>
      <w:pPr>
        <w:pStyle w:val="ListBullet"/>
      </w:pPr>
      <w:r>
        <w:t>2025-2027资本规划（含并购后RWA增长路径）</w:t>
      </w:r>
    </w:p>
    <w:p>
      <w:pPr>
        <w:pStyle w:val="ListBullet"/>
      </w:pPr>
      <w:r>
        <w:t>被并组合的集中度的分析（CRE/建筑业/酒店等对Northway footprint的敞口）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30天内：取得非应计拆分，回答"跳升来自哪里"——这是判断本机构风险性质的分水岭；</w:t>
      </w:r>
    </w:p>
    <w:p>
      <w:pPr>
        <w:pStyle w:val="ListBullet"/>
      </w:pPr>
      <w:r>
        <w:t>60天内：若跳升主要来自继承组合，复核credit mark与PCD处理恰当性及后续减值；若来自原生组合，按存量恶化路径处理（逐户评估）；</w:t>
      </w:r>
    </w:p>
    <w:p>
      <w:pPr>
        <w:pStyle w:val="ListBullet"/>
      </w:pPr>
      <w:r>
        <w:t>90天内：评估整合执行风险（人员、系统、客户流失）与资本恢复轨迹；设定25Q4总风险资本≥13%、非应计/贷款≤0.40%的回归触发线。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非应计/贷款的"并购后回归"轨迹（预期整合期先升后稳）；</w:t>
      </w:r>
    </w:p>
    <w:p>
      <w:pPr>
        <w:pStyle w:val="ListBullet"/>
      </w:pPr>
      <w:r>
        <w:t>拨备/贷款1.07%的充足性随分类资产变化的匹配度；</w:t>
      </w:r>
    </w:p>
    <w:p>
      <w:pPr>
        <w:pStyle w:val="ListBullet"/>
      </w:pPr>
      <w:r>
        <w:t>ROA能否在2026年回到1%上方（并购协同兑现标志）；</w:t>
      </w:r>
    </w:p>
    <w:p>
      <w:pPr>
        <w:pStyle w:val="ListBullet"/>
      </w:pPr>
      <w:r>
        <w:t>总风险资本恢复速度；</w:t>
      </w:r>
    </w:p>
    <w:p>
      <w:pPr>
        <w:pStyle w:val="ListBullet"/>
      </w:pPr>
      <w:r>
        <w:t>NIM 3.34%的可持续性（含收购资产重定价的一次性成分消退）。</w:t>
      </w:r>
    </w:p>
    <w:p>
      <w:pPr>
        <w:pStyle w:val="Heading2"/>
      </w:pPr>
      <w:r>
        <w:t>2.3. Union Bank（CERT 14158，VT·国民银行成员·Union Bankshares Inc·21网点·$1.48B）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非应计单季9倍跳升且未回落：非应计余额24Q4 $1.7M→25Q1 $15.0M→25Q2 $15.2M；非应计/贷款1.36%、NCL 1.37%均为$1B以上机构中最高。</w:t>
      </w:r>
    </w:p>
    <w:p>
      <w:pPr>
        <w:pStyle w:val="ListBullet"/>
      </w:pPr>
      <w:r>
        <w:t>拨备覆盖队列大机构最薄：ALLL/非应计仅0.55x，拨备/贷款0.75%低于中位——若抵押物处置回收不及预期，损失吸收缓冲不足。</w:t>
      </w:r>
    </w:p>
    <w:p>
      <w:pPr>
        <w:pStyle w:val="ListBullet"/>
      </w:pPr>
      <w:r>
        <w:t>资本三重薄弱：权益/资产5.85%为持续机构队列最低，总风险资本14.79%→12.62%（三年-217bp），杠杆缓冲极薄。</w:t>
      </w:r>
    </w:p>
    <w:p>
      <w:pPr>
        <w:pStyle w:val="ListBullet"/>
      </w:pPr>
      <w:r>
        <w:t>资金同步趋紧：贷存比73%→101%（25Q2），三年上升28pp，边际资金依赖批发来源。</w:t>
      </w:r>
    </w:p>
    <w:p>
      <w:pPr>
        <w:pStyle w:val="ListBullet"/>
      </w:pPr>
      <w:r>
        <w:t>跳升发生在25Q1单季、形态陡峭，与"少数大额关系出险"高度吻合（区别于渐进恶化），但数据无法直接验证。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25Q1新增$13.3M非应计涉及几笔关系？行业与抵押物？是否同一借款人集团或同一项目？</w:t>
      </w:r>
    </w:p>
    <w:p>
      <w:pPr>
        <w:pStyle w:val="ListBullet"/>
      </w:pPr>
      <w:r>
        <w:t>VT东部/东北部经济（旅游、小型制造、商业地产）中是否存在已识别的区域性压力源？</w:t>
      </w:r>
    </w:p>
    <w:p>
      <w:pPr>
        <w:pStyle w:val="ListBullet"/>
      </w:pPr>
      <w:r>
        <w:t>0.55x覆盖下，管理层的补提计划与时间表？25Q3是否已行动？</w:t>
      </w:r>
    </w:p>
    <w:p>
      <w:pPr>
        <w:pStyle w:val="ListBullet"/>
      </w:pPr>
      <w:r>
        <w:t>Union Bankshares的资本注入能力与意愿（分红政策、双控股结构）？</w:t>
      </w:r>
    </w:p>
    <w:p>
      <w:pPr>
        <w:pStyle w:val="ListBullet"/>
      </w:pPr>
      <w:r>
        <w:t>贷存比101%的资金计划：批发资金来源、成本与期限结构？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25Q1-25Q2非应计与TDR明细（含抵押物估值、减值测算、回收预期）</w:t>
      </w:r>
    </w:p>
    <w:p>
      <w:pPr>
        <w:pStyle w:val="ListBullet"/>
      </w:pPr>
      <w:r>
        <w:t>ALLL充足性分析（含对新增分类资产的专项计提）</w:t>
      </w:r>
    </w:p>
    <w:p>
      <w:pPr>
        <w:pStyle w:val="ListBullet"/>
      </w:pPr>
      <w:r>
        <w:t>控股公司近三年财报与分红/注资记录</w:t>
      </w:r>
    </w:p>
    <w:p>
      <w:pPr>
        <w:pStyle w:val="ListBullet"/>
      </w:pPr>
      <w:r>
        <w:t>资金来源结构表（FHLB容量、经纪存款、未保险存款占比）</w:t>
      </w:r>
    </w:p>
    <w:p>
      <w:pPr>
        <w:pStyle w:val="ListBullet"/>
      </w:pPr>
      <w:r>
        <w:t>贷款集中度报告（前25借款人、行业/地理分布）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30天内：逐户评估新增非应计的可回收性，形成损失区间估计；与0.75%拨备水平对照，量化补提缺口；</w:t>
      </w:r>
    </w:p>
    <w:p>
      <w:pPr>
        <w:pStyle w:val="ListBullet"/>
      </w:pPr>
      <w:r>
        <w:t>60天内：资本压力测算——若新增非应计的30-50%最终损失，权益/资产与总风险资本落点；评估是否跌破内部触发线；</w:t>
      </w:r>
    </w:p>
    <w:p>
      <w:pPr>
        <w:pStyle w:val="ListBullet"/>
      </w:pPr>
      <w:r>
        <w:t>90天内：要求提交资本恢复与资金结构整改计划；若25Q3拨备覆盖仍&lt;0.8x且无注资安排，升级为最高强度跟进。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非应计余额是否继续爬升或开始回落（回收/核销节奏）；</w:t>
      </w:r>
    </w:p>
    <w:p>
      <w:pPr>
        <w:pStyle w:val="ListBullet"/>
      </w:pPr>
      <w:r>
        <w:t>拨备计提与核销的季度变化；</w:t>
      </w:r>
    </w:p>
    <w:p>
      <w:pPr>
        <w:pStyle w:val="ListBullet"/>
      </w:pPr>
      <w:r>
        <w:t>权益/资产与总风险资本路径；</w:t>
      </w:r>
    </w:p>
    <w:p>
      <w:pPr>
        <w:pStyle w:val="ListBullet"/>
      </w:pPr>
      <w:r>
        <w:t>贷存比与批发资金依赖；</w:t>
      </w:r>
    </w:p>
    <w:p>
      <w:pPr>
        <w:pStyle w:val="ListBullet"/>
      </w:pPr>
      <w:r>
        <w:t>VT同类机构（Northfield、Passumpsic）是否出现同向信用信号——判断是机构特异还是区域共性。</w:t>
      </w:r>
    </w:p>
    <w:p>
      <w:pPr>
        <w:pStyle w:val="Heading2"/>
      </w:pPr>
      <w:r>
        <w:t>2.4. Maine Community Bank（CERT 17741，ME·州保险储蓄机构·互助控股(MHC)·23网点·$2.76B）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单季规模+131%的并购整合风险：2025年1月1日吸收Gorham Savings Bank（$1.6B），资产$1.17B→$2.70B，为组合内最大结构变化。</w:t>
      </w:r>
    </w:p>
    <w:p>
      <w:pPr>
        <w:pStyle w:val="ListBullet"/>
      </w:pPr>
      <w:r>
        <w:t>资本比率骤降：权益/资产12.96%→9.10%（-3.9pp，并购对价与整合消耗），且总风险资本比率全窗口未申报——资本充足证据最不完整的大额机构。</w:t>
      </w:r>
    </w:p>
    <w:p>
      <w:pPr>
        <w:pStyle w:val="ListBullet"/>
      </w:pPr>
      <w:r>
        <w:t>信用指标双向不明：非应计/贷款0.35%（24Q4）→0.62%（25Q2，+$10.7M）；同时拨备/贷款0.92%→0.70%被收购贷款稀释；25Q1拨备为负（-0.16%，并购会计释放形态）——拨备与分类资产的变化方向相反。</w:t>
      </w:r>
    </w:p>
    <w:p>
      <w:pPr>
        <w:pStyle w:val="ListBullet"/>
      </w:pPr>
      <w:r>
        <w:t>盈利表观改善含并购红利：ROA 0.65%→0.81%、NIM 3.08%→4.42%（收购资产重定价），内生盈利能力不明。</w:t>
      </w:r>
    </w:p>
    <w:p>
      <w:pPr>
        <w:pStyle w:val="ListBullet"/>
      </w:pPr>
      <w:r>
        <w:t>贷存比曾达113%（2024年），并购带入存款后降至101%——资金压力缓解但整合后仍偏高。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权益/资产骤降3.9pp的构成：并购对价形式（现金/票据）、无形资产确认、CECL首日拨备、Gorham留存权益的结转？</w:t>
      </w:r>
    </w:p>
    <w:p>
      <w:pPr>
        <w:pStyle w:val="ListBullet"/>
      </w:pPr>
      <w:r>
        <w:t>为何不申报总风险资本比率？监管资本的实际水平（CBLR opt-in?）与MHC注资能力？</w:t>
      </w:r>
    </w:p>
    <w:p>
      <w:pPr>
        <w:pStyle w:val="ListBullet"/>
      </w:pPr>
      <w:r>
        <w:t>25Q1负拨备（释放）与25Q2非应计+$7.0M并存：被并组合入账时按公允价值标记，后续恶化是否已开始？</w:t>
      </w:r>
    </w:p>
    <w:p>
      <w:pPr>
        <w:pStyle w:val="ListBullet"/>
      </w:pPr>
      <w:r>
        <w:t>Gorham组合（24Q4非应计/贷款0.48%）的credit mark与PCD处理细节？</w:t>
      </w:r>
    </w:p>
    <w:p>
      <w:pPr>
        <w:pStyle w:val="ListBullet"/>
      </w:pPr>
      <w:r>
        <w:t>两品牌整合时间表：系统并表、信贷政策统一、管理层安排？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并购会计明细：PPA、credit mark、CECL首日拨备、资本影响瀑布图</w:t>
      </w:r>
    </w:p>
    <w:p>
      <w:pPr>
        <w:pStyle w:val="ListBullet"/>
      </w:pPr>
      <w:r>
        <w:t>监管资本计算表（若适用CBLR，提供CBLR杠杆率）</w:t>
      </w:r>
    </w:p>
    <w:p>
      <w:pPr>
        <w:pStyle w:val="ListBullet"/>
      </w:pPr>
      <w:r>
        <w:t>非应计的"原生vs继承"拆分（25Q1、25Q2）</w:t>
      </w:r>
    </w:p>
    <w:p>
      <w:pPr>
        <w:pStyle w:val="ListBullet"/>
      </w:pPr>
      <w:r>
        <w:t>整合项目里程碑与预算执行报告</w:t>
      </w:r>
    </w:p>
    <w:p>
      <w:pPr>
        <w:pStyle w:val="ListBullet"/>
      </w:pPr>
      <w:r>
        <w:t>MHC治理文件要点：资本上下游限制、分红能力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30天内：取得资本影响瀑布，重建权益/资产下降的归因；获取或估算监管资本水平；</w:t>
      </w:r>
    </w:p>
    <w:p>
      <w:pPr>
        <w:pStyle w:val="ListBullet"/>
      </w:pPr>
      <w:r>
        <w:t>60天内：复核被并组合入账后的信用表现（新增逾期/分类是否集中于继承组合）；评估0.70%拨备/贷款对合并后组合的充足性；</w:t>
      </w:r>
    </w:p>
    <w:p>
      <w:pPr>
        <w:pStyle w:val="ListBullet"/>
      </w:pPr>
      <w:r>
        <w:t>90天内：与管理层确认整合里程碑达成度；设定25Q4权益/资产≥9.5%（或披露监管资本≥12%等价证据）、拨备/贷款≥0.85%的触发线。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非应计拆分轨迹（继承组合恶化速度）；</w:t>
      </w:r>
    </w:p>
    <w:p>
      <w:pPr>
        <w:pStyle w:val="ListBullet"/>
      </w:pPr>
      <w:r>
        <w:t>权益/资产与留存收益积累速度；</w:t>
      </w:r>
    </w:p>
    <w:p>
      <w:pPr>
        <w:pStyle w:val="ListBullet"/>
      </w:pPr>
      <w:r>
        <w:t>NIM 4.4%中一次性重定价成分的消退与ROA的真实走势；</w:t>
      </w:r>
    </w:p>
    <w:p>
      <w:pPr>
        <w:pStyle w:val="ListBullet"/>
      </w:pPr>
      <w:r>
        <w:t>贷存比与存款留存（Gorham客户流失率）；</w:t>
      </w:r>
    </w:p>
    <w:p>
      <w:pPr>
        <w:pStyle w:val="ListBullet"/>
      </w:pPr>
      <w:r>
        <w:t>拨备计提恢复正值的时点与幅度。</w:t>
      </w:r>
    </w:p>
    <w:p>
      <w:pPr>
        <w:pStyle w:val="Heading2"/>
      </w:pPr>
      <w:r>
        <w:t>2.5. Mascoma Bank（CERT 18013，NH·州非成员·FED监管·互助控股·26网点·$2.90B）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大型机构中盈利最弱且持续最久：ROA连续8个季度低于0.50%（2023Q2 0.46%→2025Q2 0.34%，其中最近6季≤0.35%），全窗口0.73%→0.34%；$2.9B规模下每年仅产生约$10M净利。</w:t>
      </w:r>
    </w:p>
    <w:p>
      <w:pPr>
        <w:pStyle w:val="ListBullet"/>
      </w:pPr>
      <w:r>
        <w:t>问题性质与Tier 1其他机构不同：信用指标干净（非应计/贷款0.06%、覆盖12.6x），是利差-费用结构问题而非信用问题——整改路径应完全不同。</w:t>
      </w:r>
    </w:p>
    <w:p>
      <w:pPr>
        <w:pStyle w:val="ListBullet"/>
      </w:pPr>
      <w:r>
        <w:t>资本趋势走弱：总风险资本14.33%→12.64%（-169bp），权益/资产8.12%；低盈利下内生资本积累乏力。</w:t>
      </w:r>
    </w:p>
    <w:p>
      <w:pPr>
        <w:pStyle w:val="ListBullet"/>
      </w:pPr>
      <w:r>
        <w:t>NIM 2.84%虽从2024年低谷（2.42%）回升，但仍低于期初3.00%与组合3.17%；贷存比94%中性。</w:t>
      </w:r>
    </w:p>
    <w:p>
      <w:pPr>
        <w:pStyle w:val="ListBullet"/>
      </w:pPr>
      <w:r>
        <w:t>若盈利不修复，资本补充只能靠外部渠道，互助控股结构下选项有限。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ROA长期&lt;0.35%的费用端分解：效率比、薪酬/资产、网点成本（26家）与规模不经济？</w:t>
      </w:r>
    </w:p>
    <w:p>
      <w:pPr>
        <w:pStyle w:val="ListBullet"/>
      </w:pPr>
      <w:r>
        <w:t>2024-2025年是否已启动费用整改/网点优化？效果预期？</w:t>
      </w:r>
    </w:p>
    <w:p>
      <w:pPr>
        <w:pStyle w:val="ListBullet"/>
      </w:pPr>
      <w:r>
        <w:t>NIM回升42bp中证券组合再配置的贡献与可持续性？</w:t>
      </w:r>
    </w:p>
    <w:p>
      <w:pPr>
        <w:pStyle w:val="ListBullet"/>
      </w:pPr>
      <w:r>
        <w:t>管理层对"多大规模才能覆盖成本"的战略判断——收缩、并购还是转型？</w:t>
      </w:r>
    </w:p>
    <w:p>
      <w:pPr>
        <w:pStyle w:val="ListBullet"/>
      </w:pPr>
      <w:r>
        <w:t>互助控股（Mascoma Mutual Financial Services）结构下的资本工具选项？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费用结构明细（薪酬、占用、其他非息支出/平均资产，三年趋势）</w:t>
      </w:r>
    </w:p>
    <w:p>
      <w:pPr>
        <w:pStyle w:val="ListBullet"/>
      </w:pPr>
      <w:r>
        <w:t>效率比与盈亏平衡规模测算</w:t>
      </w:r>
    </w:p>
    <w:p>
      <w:pPr>
        <w:pStyle w:val="ListBullet"/>
      </w:pPr>
      <w:r>
        <w:t>证券组合再配置记录与收益贡献</w:t>
      </w:r>
    </w:p>
    <w:p>
      <w:pPr>
        <w:pStyle w:val="ListBullet"/>
      </w:pPr>
      <w:r>
        <w:t>战略规划文件（如有）：增长/收缩/并购路径</w:t>
      </w:r>
    </w:p>
    <w:p>
      <w:pPr>
        <w:pStyle w:val="ListBullet"/>
      </w:pPr>
      <w:r>
        <w:t>资本规划与分红政策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30天内：完成费用端诊断（用申报数据即可粗测非息支出/资产与同业分位）；</w:t>
      </w:r>
    </w:p>
    <w:p>
      <w:pPr>
        <w:pStyle w:val="ListBullet"/>
      </w:pPr>
      <w:r>
        <w:t>60天内：盈利修复路径评估——量化"费用率降至同业中位"与"NIM回到3.1%"两条路径对ROA的贡献；</w:t>
      </w:r>
    </w:p>
    <w:p>
      <w:pPr>
        <w:pStyle w:val="ListBullet"/>
      </w:pPr>
      <w:r>
        <w:t>90天内：与管理层讨论战略选项；设定2026H1 ROA≥0.50%、总风险资本≥12.5%的触发线；未达标则考虑将跟进强度升级至资本恢复对话。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ROA与效率比的季度路径（是否出现拐点）；</w:t>
      </w:r>
    </w:p>
    <w:p>
      <w:pPr>
        <w:pStyle w:val="ListBullet"/>
      </w:pPr>
      <w:r>
        <w:t>总风险资本是否企稳；</w:t>
      </w:r>
    </w:p>
    <w:p>
      <w:pPr>
        <w:pStyle w:val="ListBullet"/>
      </w:pPr>
      <w:r>
        <w:t>NIM回升的持续性；</w:t>
      </w:r>
    </w:p>
    <w:p>
      <w:pPr>
        <w:pStyle w:val="ListBullet"/>
      </w:pPr>
      <w:r>
        <w:t>费用整改行动的落地信号（网点关闭、人员变化——OFFICES字段跟踪）；</w:t>
      </w:r>
    </w:p>
    <w:p>
      <w:pPr>
        <w:pStyle w:val="ListBullet"/>
      </w:pPr>
      <w:r>
        <w:t>NH同规模同业（Bank of New Hampshire、Merrimack）的盈利对照。</w:t>
      </w:r>
    </w:p>
    <w:p>
      <w:pPr>
        <w:pStyle w:val="Heading1"/>
      </w:pPr>
      <w:r>
        <w:t>三、Tier 2 定向复核（5家，60天内完成）</w:t>
      </w:r>
    </w:p>
    <w:p>
      <w:r>
        <w:rPr>
          <w:b w:val="0"/>
          <w:i w:val="0"/>
        </w:rPr>
        <w:t>Tier 2机构的问题维度较单一或规模较小，采用"一项主问题+定向资料请求"模式，每家预算约Tier 1的1/3资源。</w:t>
      </w:r>
    </w:p>
    <w:p>
      <w:pPr>
        <w:pStyle w:val="Heading2"/>
      </w:pPr>
      <w:r>
        <w:t>3.1. Merrimack County Savings Bank（CERT 17960，NH·州保险储蓄机构·$1.35B）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盈利、信用、资金三维同向恶化：ROA 0.83%→0.26%；非应计/贷款0.05%→0.67%（24Q3曾达0.99%净核销年化）；贷存比98%→104%；NIM 3.59%→2.95%。</w:t>
      </w:r>
    </w:p>
    <w:p>
      <w:pPr>
        <w:pStyle w:val="ListBullet"/>
      </w:pPr>
      <w:r>
        <w:t>优先级评分74.1为队列第2（仅次于Bangor），但因规模较小列Tier 2。</w:t>
      </w:r>
    </w:p>
    <w:p>
      <w:pPr>
        <w:pStyle w:val="ListBullet"/>
      </w:pPr>
      <w:r>
        <w:t>拨备已补提（0.98%→1.12%，覆盖1.67x），是少数"信用恶化但拨备跟上"的机构——整改意愿信号。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2023-2024年非应计上升（0.05%→0.76%峰值）的来源类别与处置进展？</w:t>
      </w:r>
    </w:p>
    <w:p>
      <w:pPr>
        <w:pStyle w:val="ListBullet"/>
      </w:pPr>
      <w:r>
        <w:t>贷存比104%的资金安排？</w:t>
      </w:r>
    </w:p>
    <w:p>
      <w:pPr>
        <w:pStyle w:val="ListBullet"/>
      </w:pPr>
      <w:r>
        <w:t>ROA 0.26%下资本内生积累是否足够？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非应计明细与迁移报告；资金来源结构；费用与盈利整改计划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60天内完成定向复核：非应计趋势（25Q2已从峰值0.76%回落至0.67%，确认是否为真实回收）+资金计划审阅；</w:t>
      </w:r>
    </w:p>
    <w:p>
      <w:pPr>
        <w:pStyle w:val="ListBullet"/>
      </w:pPr>
      <w:r>
        <w:t>90天节点：若ROA未回到0.4%上方或贷存比&gt;108%，升级Tier 1。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非应计回落的持续性；ROA修复；贷存比。</w:t>
      </w:r>
    </w:p>
    <w:p>
      <w:pPr>
        <w:pStyle w:val="Heading2"/>
      </w:pPr>
      <w:r>
        <w:t>3.2. Salem Co-operative Bank（CERT 27824，NH·州储蓄借贷(SL)·互助·$0.57B）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期末亏损：ROA 0.27%→-0.31%（2025H1年化），全窗口未出现持续盈利。</w:t>
      </w:r>
    </w:p>
    <w:p>
      <w:pPr>
        <w:pStyle w:val="ListBullet"/>
      </w:pPr>
      <w:r>
        <w:t>资金结构组合最紧：贷存比98.7%→121.4%（队列最高），负债端对批发资金依赖深。</w:t>
      </w:r>
    </w:p>
    <w:p>
      <w:pPr>
        <w:pStyle w:val="ListBullet"/>
      </w:pPr>
      <w:r>
        <w:t>NIM 1.92%（队列倒数第二）：资产端低收益（合作银行住宅抵押为主）+负债端高成本的双向挤压。</w:t>
      </w:r>
    </w:p>
    <w:p>
      <w:pPr>
        <w:pStyle w:val="ListBullet"/>
      </w:pPr>
      <w:r>
        <w:t>非应计/贷款0.43%、拨备/贷款0.63%（队列偏低）；权益/资产10.9%尚可但总风险资本18.96%→口径受RWA结构影响需谨慎解读。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亏损的费用端还是利差端主导？2025H1是否有证券处置损失等一次性因素？</w:t>
      </w:r>
    </w:p>
    <w:p>
      <w:pPr>
        <w:pStyle w:val="ListBullet"/>
      </w:pPr>
      <w:r>
        <w:t>贷存比121%的批发资金来源、成本与集中度？</w:t>
      </w:r>
    </w:p>
    <w:p>
      <w:pPr>
        <w:pStyle w:val="ListBullet"/>
      </w:pPr>
      <w:r>
        <w:t>互助架构下资本补充选项？是否评估过战略合并？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2025H1损益分解（一次性项目单列）；批发资金明细表；ALCO纪要摘要与利率风险敞口（EVE/EaR）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60天内完成盈利模式可持续性评估：若NIM&lt;2%且贷存比&gt;115%持续两个季度，正式建议管理层将其列入"战略选项评估"对话（含合并可能性）；</w:t>
      </w:r>
    </w:p>
    <w:p>
      <w:pPr>
        <w:pStyle w:val="ListBullet"/>
      </w:pPr>
      <w:r>
        <w:t>90天节点：提交评估备忘录。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ROA是否转正；贷存比；NIM；批发资金成本。</w:t>
      </w:r>
    </w:p>
    <w:p>
      <w:pPr>
        <w:pStyle w:val="Heading2"/>
      </w:pPr>
      <w:r>
        <w:t>3.3. Northfield Savings Bank（CERT 14140，VT·州保险储蓄机构·MHC·$1.56B）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评分63.2：信用水平+资本双高。非应计/贷款0.58%→0.67%持续高位（基期即为组合偏高者）；ROA 0.66%→0.32%。</w:t>
      </w:r>
    </w:p>
    <w:p>
      <w:pPr>
        <w:pStyle w:val="ListBullet"/>
      </w:pPr>
      <w:r>
        <w:t>NIM 2.58%显著低于组合3.17%；总风险资本未申报，权益/资产9.14%尚可。</w:t>
      </w:r>
    </w:p>
    <w:p>
      <w:pPr>
        <w:pStyle w:val="ListBullet"/>
      </w:pPr>
      <w:r>
        <w:t>VT队列整体信用偏弱（非应计/资产0.50%）背景下的代表性机构，与Union Bank构成"VT信号对"——两家同向恶化提示区域因素需排查。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非应计0.67%的构成（住宅抵押vs商业）与VT中部经济敞口？</w:t>
      </w:r>
    </w:p>
    <w:p>
      <w:pPr>
        <w:pStyle w:val="ListBullet"/>
      </w:pPr>
      <w:r>
        <w:t>NIM偏低的资产结构原因（证券占比高？）</w:t>
      </w:r>
    </w:p>
    <w:p>
      <w:pPr>
        <w:pStyle w:val="ListBullet"/>
      </w:pPr>
      <w:r>
        <w:t>与Union Bank的恶化是否共享区域驱动（VT商业地产/旅游经济）？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非应计与分类明细；资产结构表（证券/贷款/其他）；监管资本计算（如可提供）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60天内完成定向复核，重点是与Union Bank的交叉验证：若两家非应计的行业/地理分布重叠，将"VT区域信用压力"升级为组合层面主题并调整区域敞口监测；</w:t>
      </w:r>
    </w:p>
    <w:p>
      <w:pPr>
        <w:pStyle w:val="ListBullet"/>
      </w:pPr>
      <w:r>
        <w:t>90天节点：提交VT区域信用专题小结（合并Union发现）。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非应计迁移；VT区域主题验证结果；ROA。</w:t>
      </w:r>
    </w:p>
    <w:p>
      <w:pPr>
        <w:pStyle w:val="Heading2"/>
      </w:pPr>
      <w:r>
        <w:t>3.4. Norway Savings Bank（CERT 17658，ME·州保险储蓄机构·MHC·25网点·$2.06B）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信用先行指标显著恶化：非应计/贷款0.09%→0.69%（7倍），24Q4→25Q2仍在上升（+$2.7M），但ROA尚稳（0.86%）——典型的"盈利尚未反映信用恶化"阶段，正是介入窗口。</w:t>
      </w:r>
    </w:p>
    <w:p>
      <w:pPr>
        <w:pStyle w:val="ListBullet"/>
      </w:pPr>
      <w:r>
        <w:t>拨备偏薄：拨备/贷款0.68%、覆盖0.99x，与非应计上升速度不匹配。</w:t>
      </w:r>
    </w:p>
    <w:p>
      <w:pPr>
        <w:pStyle w:val="ListBullet"/>
      </w:pPr>
      <w:r>
        <w:t>评分56.4、风险贡献76.9（$2.1B规模重要性）。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非应计上升的类别与单笔集中度？</w:t>
      </w:r>
    </w:p>
    <w:p>
      <w:pPr>
        <w:pStyle w:val="ListBullet"/>
      </w:pPr>
      <w:r>
        <w:t>0.68%拨备/贷款的管理层依据？补提计划？</w:t>
      </w:r>
    </w:p>
    <w:p>
      <w:pPr>
        <w:pStyle w:val="ListBullet"/>
      </w:pPr>
      <w:r>
        <w:t>ME中海岸地区经济（旅游、渔业、小型商业）敞口？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非应计明细与迁移；ALLL方法论与充足性分析；集中度报告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60天内完成拨备充足性定向复核：量化若按队列中位覆盖（约1.5-2x）需补提的拨备及其对ROA/资本的冲击；</w:t>
      </w:r>
    </w:p>
    <w:p>
      <w:pPr>
        <w:pStyle w:val="ListBullet"/>
      </w:pPr>
      <w:r>
        <w:t>90天节点：若25Q3非应计/贷款&gt;0.8%或覆盖&lt;0.8x，升级Tier 1。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非应计迁移方向；拨备计提速度；ROA是否开始被信用成本侵蚀。</w:t>
      </w:r>
    </w:p>
    <w:p>
      <w:pPr>
        <w:pStyle w:val="Heading2"/>
      </w:pPr>
      <w:r>
        <w:t>3.5. Franklin Savings Bank (ME)（CERT 19836，ME·州非成员·MHC(FSB BCORP)·$0.76B）</w:t>
      </w:r>
    </w:p>
    <w:p>
      <w:r>
        <w:rPr>
          <w:b/>
          <w:i w:val="0"/>
        </w:rPr>
        <w:t>关注理由</w:t>
      </w:r>
    </w:p>
    <w:p>
      <w:pPr>
        <w:pStyle w:val="ListBullet"/>
      </w:pPr>
      <w:r>
        <w:t>非应计/贷款0.40%→1.29%（队列$0.5B以上机构中最高之一）且仍在上升（24Q4→25Q2 +$2.7M）。</w:t>
      </w:r>
    </w:p>
    <w:p>
      <w:pPr>
        <w:pStyle w:val="ListBullet"/>
      </w:pPr>
      <w:r>
        <w:t>拨备覆盖仅0.55x（队列大机构最薄之一），拨备/贷款0.71%。</w:t>
      </w:r>
    </w:p>
    <w:p>
      <w:pPr>
        <w:pStyle w:val="ListBullet"/>
      </w:pPr>
      <w:r>
        <w:t>贷存比109%偏高；但ROA 0.84%、权益/资产17.3%、总风险资本23.1%极厚——损失吸收能力强，问题是信用管理而非资本。</w:t>
      </w:r>
    </w:p>
    <w:p>
      <w:pPr>
        <w:pStyle w:val="ListBullet"/>
      </w:pPr>
      <w:r>
        <w:t>高增长（CAGR 9.1%）与信用恶化并存，需排查增长是否以承保标准换取。</w:t>
      </w:r>
    </w:p>
    <w:p>
      <w:r>
        <w:rPr>
          <w:b/>
          <w:i w:val="0"/>
        </w:rPr>
        <w:t>需管理层回答的问题</w:t>
      </w:r>
    </w:p>
    <w:p>
      <w:pPr>
        <w:pStyle w:val="ListBullet"/>
      </w:pPr>
      <w:r>
        <w:t>1.29%非应计的构成与增长期贷款的vintage分布？</w:t>
      </w:r>
    </w:p>
    <w:p>
      <w:pPr>
        <w:pStyle w:val="ListBullet"/>
      </w:pPr>
      <w:r>
        <w:t>2021-2023年高增长期承保标准是否放松（LTV、DSCR、担保）？</w:t>
      </w:r>
    </w:p>
    <w:p>
      <w:pPr>
        <w:pStyle w:val="ListBullet"/>
      </w:pPr>
      <w:r>
        <w:t>0.55x覆盖下的补提计划？</w:t>
      </w:r>
    </w:p>
    <w:p>
      <w:r>
        <w:rPr>
          <w:b/>
          <w:i w:val="0"/>
        </w:rPr>
        <w:t>下一步资料请求</w:t>
      </w:r>
    </w:p>
    <w:p>
      <w:pPr>
        <w:pStyle w:val="ListBullet"/>
      </w:pPr>
      <w:r>
        <w:t>非应计明细（含发放年份vintage）；承保政策变更记录；ALLL充足性分析；贷款增长按类别/地理分解</w:t>
      </w:r>
    </w:p>
    <w:p>
      <w:r>
        <w:rPr>
          <w:b/>
          <w:i w:val="0"/>
        </w:rPr>
        <w:t>建议行动</w:t>
      </w:r>
    </w:p>
    <w:p>
      <w:pPr>
        <w:pStyle w:val="ListBullet"/>
      </w:pPr>
      <w:r>
        <w:t>60天内完成"增长-承保-信用"链条核查：若确认非应计集中于2021-2023年发放的贷款，将其列为"增长期承保纪律"主题的样本机构；</w:t>
      </w:r>
    </w:p>
    <w:p>
      <w:pPr>
        <w:pStyle w:val="ListBullet"/>
      </w:pPr>
      <w:r>
        <w:t>90天节点：提交核查结论；资本雄厚故不设资本触发线，但设覆盖≥1.0x的拨备触发线。</w:t>
      </w:r>
    </w:p>
    <w:p>
      <w:r>
        <w:rPr>
          <w:b/>
          <w:i w:val="0"/>
        </w:rPr>
        <w:t>后续监测重点</w:t>
      </w:r>
    </w:p>
    <w:p>
      <w:pPr>
        <w:pStyle w:val="ListBullet"/>
      </w:pPr>
      <w:r>
        <w:t>非应计是否见顶；vintage核查结论；贷存比；增长节奏是否主动放缓。</w:t>
      </w:r>
    </w:p>
    <w:p>
      <w:pPr>
        <w:pStyle w:val="Heading1"/>
      </w:pPr>
      <w:r>
        <w:t>四、组合层面并行工作流（不分机构）</w:t>
      </w:r>
    </w:p>
    <w:p>
      <w:pPr>
        <w:pStyle w:val="ListBullet"/>
      </w:pPr>
      <w:r>
        <w:t>W1 非应计跳升追踪：对24Q4→25Q2非应计增加&gt;$2.5M的8家（Bangor、Union、Camden、Maine Community、Northeast、Machias、Bar Harbor B&amp;T、Franklin ME）建立月度数据刷新与季度专题；数据源为FDIC季度申报，刷新成本低。</w:t>
      </w:r>
    </w:p>
    <w:p>
      <w:pPr>
        <w:pStyle w:val="ListBullet"/>
      </w:pPr>
      <w:r>
        <w:t>W2 拨备覆盖缺口清单：覆盖&lt;1.0x机构（Union 0.55x、Franklin ME 0.55x、Bar Harbor S&amp;L 0.50x、First Federal Bath 0.63x、Norway 0.99x）统一发送ALLL方法论资料请求，60天内汇总缺口估计。</w:t>
      </w:r>
    </w:p>
    <w:p>
      <w:pPr>
        <w:pStyle w:val="ListBullet"/>
      </w:pPr>
      <w:r>
        <w:t>W3 高贷存比清单：&gt;100%的20家（Salem 121%、Bar Harbor S&amp;L 118%、Saco &amp; Biddeford 113%、Northeast 111%、Kennebec 110%、Franklin ME 109%、Rockland 109%、Auburn 108%、Partners BNE 108%、Bank of New England 108%、Androscoggin 106%、Meredith Village 105%、First Federal Bath 105%、Merrimack 104%、Claremont 102%、Maine Community 101%、Primary 101%、Community National 101%、Union 101%、Bank of Bennington 100.3%）要求资金结构表；评估组合整体批发资金敏感度。</w:t>
      </w:r>
    </w:p>
    <w:p>
      <w:pPr>
        <w:pStyle w:val="ListBullet"/>
      </w:pPr>
      <w:r>
        <w:t>W4 并购整合监测：Camden/Northway、Maine Community/Gorham、Bar Harbor/Woodsville（期末后2025-07-31生效）三条整合线统一跟踪整合成本、资本消耗、客户与存款留存。</w:t>
      </w:r>
    </w:p>
    <w:p>
      <w:pPr>
        <w:pStyle w:val="ListBullet"/>
      </w:pPr>
      <w:r>
        <w:t>W5 VT区域信用专题：Union+Northfield交叉验证（见3.3），排查VT商业房地产与旅游经济敞口的区域共性。</w:t>
      </w:r>
    </w:p>
    <w:p>
      <w:pPr>
        <w:pStyle w:val="ListBullet"/>
      </w:pPr>
      <w:r>
        <w:t>W6 亏损机构战略评估：连续亏损的Salem Co-op、Piscataqua、First Seacoast、Brattleboro S&amp;L（4家合计$1.8B）——评估"整改可行vs战略合并"分类，90天内形成组合结构建议。</w:t>
      </w:r>
    </w:p>
    <w:p>
      <w:pPr>
        <w:pStyle w:val="Heading1"/>
      </w:pPr>
      <w:r>
        <w:t>五、90天时间安排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47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时段</w:t>
            </w:r>
          </w:p>
        </w:tc>
        <w:tc>
          <w:tcPr>
            <w:tcW w:type="dxa" w:w="5783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40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交付/节点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第1-30天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Tier 1五家资料请求全部发出（§2 requests清单）；W1追踪机制上线；30天节点完成Bangor非应计初评、Camden拆分获取、Maine Community资本瀑布重建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资料请求包×5；Bangor初评备忘录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第31-60天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Tier 1现场/远程尽调对话（每家2-3小时管理层访谈）；Tier 2五家定向复核完成；W2拨备缺口汇总；W5 VT专题数据交叉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Tier 1尽调纪要×5；Tier 2复核结论×5；拨备缺口表；VT专题小结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8"/>
              </w:rPr>
              <w:t>第61-90天</w:t>
            </w:r>
          </w:p>
        </w:tc>
        <w:tc>
          <w:tcPr>
            <w:tcW w:type="dxa" w:w="5783"/>
          </w:tcPr>
          <w:p>
            <w:r/>
            <w:r>
              <w:rPr>
                <w:sz w:val="18"/>
              </w:rPr>
              <w:t>资本与盈利恢复对话（Bangor、Union、Mascoma、Salem）；触发线设定与监测仪表盘上线；W6亏损机构战略评估；汇总向管理层报告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触发线清单；90天总结报告；下一季度跟进名单更新</w:t>
            </w:r>
          </w:p>
        </w:tc>
      </w:tr>
    </w:tbl>
    <w:p/>
    <w:p>
      <w:r>
        <w:rPr>
          <w:b/>
          <w:i w:val="0"/>
        </w:rPr>
        <w:t>升级/降级规则（预先设定，避免临时裁量）：</w:t>
      </w:r>
    </w:p>
    <w:p>
      <w:pPr>
        <w:pStyle w:val="ListBullet"/>
      </w:pPr>
      <w:r>
        <w:t>升级Tier 2→Tier 1：ROA再降25bp以上、非应计/贷款突破0.8%、拨备覆盖跌破0.8x、贷存比突破110%（任一，连续两季或单季幅度&gt;50%）。</w:t>
      </w:r>
    </w:p>
    <w:p>
      <w:pPr>
        <w:pStyle w:val="ListBullet"/>
      </w:pPr>
      <w:r>
        <w:t>降级/移出：触发线全部达标且连续两季改善（如Merrimack非应计确认回落、Camden非应计回归0.40%下方）。</w:t>
      </w:r>
    </w:p>
    <w:p>
      <w:pPr>
        <w:pStyle w:val="ListBullet"/>
      </w:pPr>
      <w:r>
        <w:t>数据刷新依赖：FDIC季度申报（25Q3数据约2025年11月可得）；本简报全部触发线以25Q3/25Q4申报数据检验。</w:t>
      </w:r>
    </w:p>
    <w:p>
      <w:pPr>
        <w:pStyle w:val="Heading1"/>
      </w:pPr>
      <w:r>
        <w:t>六、假设与限制</w:t>
      </w:r>
    </w:p>
    <w:p>
      <w:pPr>
        <w:pStyle w:val="ListBullet"/>
      </w:pPr>
      <w:r>
        <w:t>本简报为假设性内部管理分析，基于2025-06-30申报数据快照（快照获取晚于期末，含期末后信息），非实时监测、非监管评级、非投资建议；结论不外推至全国银行业。</w:t>
      </w:r>
    </w:p>
    <w:p>
      <w:pPr>
        <w:pStyle w:val="ListBullet"/>
      </w:pPr>
      <w:r>
        <w:t>分级与评分依据模型（工作簿08_Priority）可复核复现，但权重为分析设定；管理层可基于自身信息调整名单——调整时建议保留"风险贡献前5名必入Tier 1"的底线规则（Bangor、Camden、Maine Community、Mascoma、Union均在风险贡献前9且各有独立触发证据）。</w:t>
      </w:r>
    </w:p>
    <w:p>
      <w:pPr>
        <w:pStyle w:val="ListBullet"/>
      </w:pPr>
      <w:r>
        <w:t>无贷款级数据：所有"大额单笔出险""vintage集中"表述为形态推断（跳升的时间集中度与量级），须经资料请求验证后方可作为结论；本简报已将其全部列入问题清单而非直接断言。</w:t>
      </w:r>
    </w:p>
    <w:p>
      <w:pPr>
        <w:pStyle w:val="ListBullet"/>
      </w:pPr>
      <w:r>
        <w:t>并购方（Camden、Maine Community）指标变化含并购会计噪音（公允价值入账、CECL首日处理、整合成本），跨期比较的可解释性低于持续独立机构；对其触发线已按此放宽或改设（如Camden以"非应计回归"而非绝对水平为线）。</w:t>
      </w:r>
    </w:p>
    <w:p>
      <w:pPr>
        <w:pStyle w:val="ListBullet"/>
      </w:pPr>
      <w:r>
        <w:t>15家未申报总风险资本比率（含Maine Community、Northfield、Norway），资本判断依赖权益/资产替代，误差敏感度较高；对这些机构的资本触发线以"获取监管资本数据"为前置条件。</w:t>
      </w:r>
    </w:p>
    <w:p>
      <w:pPr>
        <w:pStyle w:val="ListBullet"/>
      </w:pPr>
      <w:r>
        <w:t>YTD年化口径：2025Q2为上半年年化，Salem(-0.31%)等亏损判断若下半年修复全年可能不同；触发线检验统一使用同口径同比（25Q3 vs 24Q3、25Q4 vs 24Q4）。</w:t>
      </w:r>
    </w:p>
    <w:p>
      <w:pPr>
        <w:pStyle w:val="ListBullet"/>
      </w:pPr>
      <w:r>
        <w:t>90天计划假设管理层可获取机构配合的资料；若部分机构拒绝提供明细，替代路径为监管公开数据（UBPR类）+现场访谈，结论置信度将相应下调并在交付中标注。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