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经营表现诊断：作者参考候选</w:t>
      </w:r>
    </w:p>
    <w:p>
      <w:r>
        <w:t>2022-03-31至2025-06-30。尚未独立审核，以下为一种可复算分析方案，不是唯一标准答案。</w:t>
      </w:r>
    </w:p>
    <w:p>
      <w:pPr>
        <w:pStyle w:val="Heading1"/>
      </w:pPr>
      <w:r>
        <w:t>执行摘要</w:t>
      </w:r>
    </w:p>
    <w:p>
      <w:r>
        <w:t>roa_asset_proxy：0.8092% → 0.7617%，变化-0.0475个百分点；自身表现-0.1816，权重0.0988，进入0.0288，退出0.0065。</w:t>
      </w:r>
    </w:p>
    <w:p>
      <w:r>
        <w:t>nonaccrual_assets_pct：0.2198% → 0.3530%，变化0.1332个百分点；自身表现0.1104，权重0.0355，进入0.0040，退出-0.0167。</w:t>
      </w:r>
    </w:p>
    <w:p>
      <w:r>
        <w:t>nco_loan_proxy：0.0161% → 0.0261%，变化0.0100个百分点；自身表现0.0085，权重0.0022，进入-0.0004，退出-0.0004。</w:t>
      </w:r>
    </w:p>
    <w:p>
      <w:r>
        <w:t>rbc_asset_proxy：15.1991% → 14.2515%，变化-0.9476个百分点；自身表现-1.1936，权重-0.1497，进入0.8686，退出-0.4729。</w:t>
      </w:r>
    </w:p>
    <w:p>
      <w:r>
        <w:t>仅代表冻结导出的ME/NH/VT样本；当前机构表仅用作身份、业务特征和沿革核验，不以ACTIVE回删历史样本，也不使用机构表财务值覆盖季度数据。ROA/NIM已有年化；以期末资产加权仅为平均资产权重的近似。RBC以期末资产加权仅为缺少RWAJT时的近似，不是组合监管资本充足率。RBCRWAJ=0的记录保留原始值但标记有效性未确认，既不认定为真实零资本，也不无说明混入比率；资本代理仅对正值样本归一加权，需单列覆盖。净核销采用NTLNLS年初至今金额，按12/月数年化；期末贷款或资产代替平均分母仅为代理。NCLNLSR是非流动贷款率，不是净核销率，ELNATRY也不是净核销率。当前业务分类不证明历史业务始终不变；数学分解不是因果识别。同业偏离和内部触发条件不是监管评级、法定缺陷或要求调整准备的监管门槛。</w:t>
      </w:r>
    </w:p>
    <w:p>
      <w:pPr>
        <w:pStyle w:val="Heading1"/>
      </w:pPr>
      <w:r>
        <w:t>主要驱动与竞争性解释</w:t>
      </w:r>
    </w:p>
    <w:p>
      <w:r>
        <w:t>roa_asset_proxy：持续机构自身变化绝对贡献前三为 CERT 18408：-0.0539个百分点；CERT 4255：-0.0522个百分点；CERT 19690：-0.0305个百分点。这是机械贡献，不能据此认定经营根因。</w:t>
      </w:r>
    </w:p>
    <w:p>
      <w:r>
        <w:t>nonaccrual_assets_pct：持续机构自身变化绝对贡献前三为 CERT 18408：0.0421个百分点；CERT 4255：0.0169个百分点；CERT 19690：-0.0140个百分点。这是机械贡献，不能据此认定经营根因。</w:t>
      </w:r>
    </w:p>
    <w:p>
      <w:r>
        <w:t>nco_loan_proxy：持续机构自身变化绝对贡献前三为 CERT 19690：0.0077个百分点；CERT 6271：-0.0064个百分点；CERT 11971：0.0021个百分点。这是机械贡献，不能据此认定经营根因。</w:t>
      </w:r>
    </w:p>
    <w:p>
      <w:r>
        <w:t>rbc_asset_proxy：持续机构自身变化绝对贡献前三为 CERT 19690：-0.3269个百分点；CERT 18408：-0.2799个百分点；CERT 19836：-0.1125个百分点。这是机械贡献，不能据此认定经营根因。</w:t>
      </w:r>
    </w:p>
    <w:p>
      <w:r>
        <w:t>Northway Bank(14240) → 4255，结束日期01/02/2025，期内=True。退出前资产1188010；继承者前后资产5790238 / 6948167。身份沿革支持结构性解释；前后金额不等于精确交易贡献，不拼造历史合并报表。</w:t>
      </w:r>
    </w:p>
    <w:p>
      <w:r>
        <w:t>Gorham Savings Bank(17748) → 17741，结束日期01/01/2025，期内=True。退出前资产1608101；继承者前后资产1167995 / 2702374。身份沿革支持结构性解释；前后金额不等于精确交易贡献，不拼造历史合并报表。</w:t>
      </w:r>
    </w:p>
    <w:p>
      <w:r>
        <w:t>Woodsville Guaranty Savings Bank(18031) → 11971，结束日期07/31/2025，期内=False。退出前资产669249；继承者前后资产4106441 / None。身份沿革支持结构性解释；前后金额不等于精确交易贡献，不拼造历史合并报表。</w:t>
      </w:r>
    </w:p>
    <w:p>
      <w:r>
        <w:t>经营性解释是持续机构信用迁移或盈利压力；结构性解释是承继、进入退出及资产权重改变。分解和连续样本可区分机械贡献，却缺少借款人迁移、核销回收明细及交易会计桥接，无法证实贷款质量变化由何原因造成。</w:t>
      </w:r>
    </w:p>
    <w:p>
      <w:pPr>
        <w:pStyle w:val="Heading1"/>
      </w:pPr>
      <w:r>
        <w:t>可比范围与行动取舍</w:t>
      </w:r>
    </w:p>
    <w:p>
      <w:r>
        <w:t>20220331 all：51家，ROA代理0.8092%，非应计资产率0.2198%，资本代理15.1991%。</w:t>
      </w:r>
    </w:p>
    <w:p>
      <w:r>
        <w:t>20220331 continuous：49家，ROA代理0.8552%，非应计资产率0.2130%，资本代理15.2016%。</w:t>
      </w:r>
    </w:p>
    <w:p>
      <w:r>
        <w:t>20220331 continuous_conventional：49家，ROA代理0.8552%，非应计资产率0.2130%，资本代理15.2016%。</w:t>
      </w:r>
    </w:p>
    <w:p>
      <w:r>
        <w:t>20250630 all：52家，ROA代理0.7617%，非应计资产率0.3530%，资本代理14.2515%。</w:t>
      </w:r>
    </w:p>
    <w:p>
      <w:r>
        <w:t>20250630 continuous：49家，ROA代理0.7380%，非应计资产率0.3514%，资本代理14.2388%。</w:t>
      </w:r>
    </w:p>
    <w:p>
      <w:r>
        <w:t>20250630 continuous_conventional：49家，ROA代理0.7380%，非应计资产率0.3514%，资本代理14.2388%。</w:t>
      </w:r>
    </w:p>
    <w:p>
      <w:r>
        <w:t>连续可比机构内盈利、非应计、净核销、账面权益/资产、贷存比五维等权风险方向经验百分位，选前五用于有限资源初筛；RBC零值待核验不参与排名。非唯一正确名单、非监管评级。对排名边界与结构性事件另行复核。</w:t>
      </w:r>
    </w:p>
    <w:p>
      <w:r>
        <w:t>选择分层问询而非全面相同深度复核：先复核五维信号较集中的机构，同时单列承继事件桥接；特殊业务机构不直接放入传统银行排名。边界银行不等于无风险，若差异化资料推翻当前信号、同业组改变或资本真实分母改变结论，应重排并扩大范围。</w:t>
      </w:r>
    </w:p>
    <w:p>
      <w:pPr>
        <w:pStyle w:val="Heading2"/>
      </w:pPr>
      <w:r>
        <w:t>1. MERRIMACK COUNTY SAVINGS BANK (17960)</w:t>
      </w:r>
    </w:p>
    <w:p>
      <w:r>
        <w:t>MERRIMACK COUNTY SAVINGS BANK，CERT 17960，内部初筛第1，综合方向分位0.780。ROA 0.263%，非应计资产率0.568%，净核销贷款代理0.075%，RBC银行比率13.797712957164388，贷存比103.09%，房地产贷款占比70.43%。同比非应计变化-0.100个百分点，ROA变化-0.093个百分点。</w:t>
      </w:r>
    </w:p>
    <w:p>
      <w:r>
        <w:t>先问核销时点、回收和资产出售是否造成年度可比差异；请求YTD核销及回收桥接、贷款平均余额，再验证年化代理。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2. SALEM CO-OPERATIVE BANK (27824)</w:t>
      </w:r>
    </w:p>
    <w:p>
      <w:r>
        <w:t>SALEM CO-OPERATIVE BANK，CERT 27824，内部初筛第2，综合方向分位0.727。ROA -0.306%，非应计资产率0.358%，净核销贷款代理0.018%，RBC银行比率18.959014400345826，贷存比120.68%，房地产贷款占比89.38%。同比非应计变化0.164个百分点，ROA变化0.068个百分点。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3. MEREDITH VILLAGE SAVINGS BANK (17180)</w:t>
      </w:r>
    </w:p>
    <w:p>
      <w:r>
        <w:t>MEREDITH VILLAGE SAVINGS BANK，CERT 17180，内部初筛第3，综合方向分位0.686。ROA 0.322%，非应计资产率0.311%，净核销贷款代理0.023%，RBC银行比率16.117092644366455，贷存比104.26%，房地产贷款占比83.98%。同比非应计变化0.001个百分点，ROA变化-0.075个百分点。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4. PARTNERS BANK OF NEW ENGLAND (17115)</w:t>
      </w:r>
    </w:p>
    <w:p>
      <w:r>
        <w:t>PARTNERS BANK OF NEW ENGLAND，CERT 17115，内部初筛第4，综合方向分位0.682。ROA 0.713%，非应计资产率0.231%，净核销贷款代理0.099%，RBC银行比率14.816920627700705，贷存比106.78%，房地产贷款占比94.83%。同比非应计变化0.004个百分点，ROA变化0.344个百分点。</w:t>
      </w:r>
    </w:p>
    <w:p>
      <w:r>
        <w:t>先问核销时点、回收和资产出售是否造成年度可比差异；请求YTD核销及回收桥接、贷款平均余额，再验证年化代理。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2"/>
      </w:pPr>
      <w:r>
        <w:t>5. BAR HARBOR SAVINGS AND LOAN ASSOCIATION (30878)</w:t>
      </w:r>
    </w:p>
    <w:p>
      <w:r>
        <w:t>BAR HARBOR SAVINGS AND LOAN ASSOCIATION，CERT 30878，内部初筛第5，综合方向分位0.682。ROA 0.002%，非应计资产率1.368%，净核销贷款代理0.000%，RBC银行比率零值有效性待核验，贷存比117.37%，房地产贷款占比99.80%。同比非应计变化-0.409个百分点，ROA变化0.230个百分点。</w:t>
      </w:r>
    </w:p>
    <w:p>
      <w:r>
        <w:t>先问贷款增长和存款变化是否由客户集中或短期资金替代驱动；请求存款集中度、期限和融资成本、现金流压力及备用流动性。</w:t>
      </w:r>
    </w:p>
    <w:p>
      <w:r>
        <w:t>补充请求贷款分行业/地区及关联集中度、逾期向非应计迁移、资本与资金承受力；若机构没有相关业务，应书面说明并缩减请求。由风险复核负责人将每项证据与最强信号和竞争解释对应，避免把资料存在本身当作根因已验证。</w:t>
      </w:r>
    </w:p>
    <w:p>
      <w:pPr>
        <w:pStyle w:val="Heading1"/>
      </w:pPr>
      <w:r>
        <w:t>九十天安排与更新</w:t>
      </w:r>
    </w:p>
    <w:p>
      <w:r>
        <w:t>第1–15天：财务分析负责人核对身份、口径与原始快照，风险负责人向优先机构及承继事件相关机构发差异化资料请求；产出确认单。</w:t>
      </w:r>
    </w:p>
    <w:p>
      <w:r>
        <w:t>第16–30天：信用、资金及资本条线复核迁移、回收、平均分母和交易桥接；产出可确认/可否定/待补证的解释清单，资料不足时不下定论。</w:t>
      </w:r>
    </w:p>
    <w:p>
      <w:r>
        <w:t>第31–60天：管理层审议复核结果和替代同业分组敏感性，决定调整跟进顺序、扩大或缩减范围；产出责任方向明确的行动台账。</w:t>
      </w:r>
    </w:p>
    <w:p>
      <w:r>
        <w:t>第61–90天：财务分析负责人更新季度数据，风险条线按月追踪入选银行信用迁移、资金和资本信号；新证据修正代理或承继解释时重算排序。</w:t>
      </w:r>
    </w:p>
    <w:p>
      <w:r>
        <w:t>逐家每月复核其最强信号及对应原始明细，组合按季度复算四项指标和贡献；当同业偏离持续、信用与资本/资金信号同时恶化或关键桥接长期无法解释时升级管理层复核；资料证实一次性结构变化且持续信号缓解时可降级。上述是拟议内部管理条件，不是既有政策或监管门槛。</w:t>
      </w:r>
    </w:p>
    <w:p>
      <w:r>
        <w:t>依据OCC Rating Credit Risk关于组合复杂度、根因及监测的原则，以及FDIC RMS Loans关于贷款质量和集中风险复核的原则，优先取得可验证资料。未获得逐笔证据，不认定正式监管评级，不按同业中位数直接要求调整信用损失准备。具体页码引用尚待独立审阅确认。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