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2"/>
        </w:rPr>
        <w:t>2020—2024年县域人口与名义人均收入变化审计备忘录</w:t>
      </w:r>
    </w:p>
    <w:p>
      <w:pPr>
        <w:pStyle w:val="Heading1"/>
      </w:pPr>
      <w:r>
        <w:t>结论先行</w:t>
      </w:r>
    </w:p>
    <w:p>
      <w:pPr>
        <w:pStyle w:val="ListBullet"/>
      </w:pPr>
      <w:r>
        <w:t>可直接按代码比较的范围是3,091个地区：它们同时出现在BEA GeoFIPS和Census 2024人口估计SUMLEV=050目标集合。不能把BEA的118个集合外地域（含全国、区域、州、合并及历史地域）算入县级总计。</w:t>
      </w:r>
    </w:p>
    <w:p>
      <w:pPr>
        <w:pStyle w:val="ListBullet"/>
      </w:pPr>
      <w:r>
        <w:t>目标集合另有53个代码没有BEA同码，必须留待核验，未按名称匹配或从BEA合并地区拆分。2024人口目标与2020县代码表还存在双向版本差异：前者独有9码，后者独有100码。</w:t>
      </w:r>
    </w:p>
    <w:p>
      <w:pPr>
        <w:pStyle w:val="ListBullet"/>
      </w:pPr>
      <w:r>
        <w:t>两张BEA表2020—2024对总收入、人口和发布人均值共核验48,135个地域—年份—指标，数值不一致0项、不可解析522项。CAINC4总收入与三分项加总核验不一致0项、不可解析174项。</w:t>
      </w:r>
    </w:p>
    <w:p>
      <w:pPr>
        <w:pStyle w:val="ListBullet"/>
      </w:pPr>
      <w:r>
        <w:t>严格要求两端总收入和三分项、两端BEA与Census人口均为正且有值，并要求两表总收入一致后，可排名3,082个地区，排除9个；每个排除原因已逐条保留。</w:t>
      </w:r>
    </w:p>
    <w:p>
      <w:pPr>
        <w:pStyle w:val="ListBullet"/>
      </w:pPr>
      <w:r>
        <w:t>两种人口口径的名义人均收入增长前20完全重合（20个），且本次数据中的前20名次也完全相同；尽管两套人口值并非处处相等，本次分母差异不足以改变榜首集合或顺序。</w:t>
      </w:r>
    </w:p>
    <w:p>
      <w:pPr>
        <w:pStyle w:val="ListBullet"/>
      </w:pPr>
      <w:r>
        <w:t>这些增长率均为名义值；不能解释为经过通胀调整的实际购买力或生活水平改善。</w:t>
      </w:r>
    </w:p>
    <w:p>
      <w:pPr>
        <w:pStyle w:val="Heading1"/>
      </w:pPr>
      <w:r>
        <w:t>范围、原件与指标口径</w:t>
      </w:r>
    </w:p>
    <w:p>
      <w:r>
        <w:t>分析只使用交付的四份原件，不修改输入，不引入外部地域交叉表。BEA文件严格按cp1252解码，县代码表按UTF-8 BOM解码。GeoFIPS及STATE+COUNTY均正规化为保留前导零的5位字符串；县级目标仅由人口表SUMLEV=050定义，不以代码长度推断。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rFonts w:ascii="宋体" w:hAnsi="宋体"/>
                <w:sz w:val="16"/>
              </w:rPr>
              <w:t>源文件</w:t>
            </w:r>
          </w:p>
        </w:tc>
        <w:tc>
          <w:tcPr>
            <w:tcW w:type="dxa" w:w="1704"/>
          </w:tcPr>
          <w:p>
            <w:r>
              <w:rPr>
                <w:rFonts w:ascii="宋体" w:hAnsi="宋体"/>
                <w:sz w:val="16"/>
              </w:rPr>
              <w:t>有效记录</w:t>
            </w:r>
          </w:p>
        </w:tc>
        <w:tc>
          <w:tcPr>
            <w:tcW w:type="dxa" w:w="1704"/>
          </w:tcPr>
          <w:p>
            <w:r>
              <w:rPr>
                <w:rFonts w:ascii="宋体" w:hAnsi="宋体"/>
                <w:sz w:val="16"/>
              </w:rPr>
              <w:t>地理/指标粒度</w:t>
            </w:r>
          </w:p>
        </w:tc>
        <w:tc>
          <w:tcPr>
            <w:tcW w:type="dxa" w:w="1704"/>
          </w:tcPr>
          <w:p>
            <w:r>
              <w:rPr>
                <w:rFonts w:ascii="宋体" w:hAnsi="宋体"/>
                <w:sz w:val="16"/>
              </w:rPr>
              <w:t>年份</w:t>
            </w:r>
          </w:p>
        </w:tc>
        <w:tc>
          <w:tcPr>
            <w:tcW w:type="dxa" w:w="1704"/>
          </w:tcPr>
          <w:p>
            <w:r>
              <w:rPr>
                <w:rFonts w:ascii="宋体" w:hAnsi="宋体"/>
                <w:sz w:val="16"/>
              </w:rPr>
              <w:t>重复键</w:t>
            </w:r>
          </w:p>
        </w:tc>
        <w:tc>
          <w:tcPr>
            <w:tcW w:type="dxa" w:w="1704"/>
          </w:tcPr>
          <w:p>
            <w:r>
              <w:rPr>
                <w:rFonts w:ascii="宋体" w:hAnsi="宋体"/>
                <w:sz w:val="16"/>
              </w:rPr>
              <w:t>非数值标记</w:t>
            </w:r>
          </w:p>
        </w:tc>
      </w:tr>
      <w:tr>
        <w:tc>
          <w:tcPr>
            <w:tcW w:type="dxa" w:w="1704"/>
          </w:tcPr>
          <w:p>
            <w:r>
              <w:rPr>
                <w:rFonts w:ascii="宋体" w:hAnsi="宋体"/>
                <w:sz w:val="16"/>
              </w:rPr>
              <w:t>CAINC1__ALL_AREAS.csv</w:t>
            </w:r>
          </w:p>
        </w:tc>
        <w:tc>
          <w:tcPr>
            <w:tcW w:type="dxa" w:w="1704"/>
          </w:tcPr>
          <w:p>
            <w:r>
              <w:rPr>
                <w:rFonts w:ascii="宋体" w:hAnsi="宋体"/>
                <w:sz w:val="16"/>
              </w:rPr>
              <w:t>9,627</w:t>
            </w:r>
          </w:p>
        </w:tc>
        <w:tc>
          <w:tcPr>
            <w:tcW w:type="dxa" w:w="1704"/>
          </w:tcPr>
          <w:p>
            <w:r>
              <w:rPr>
                <w:rFonts w:ascii="宋体" w:hAnsi="宋体"/>
                <w:sz w:val="16"/>
              </w:rPr>
              <w:t>每个GeoFIPS含全国、区域、州、县/县等价体、合并及历史地域；不能由5位格式判县；GeoFIPS × LineCode宽年份；3个LineCode</w:t>
            </w:r>
          </w:p>
        </w:tc>
        <w:tc>
          <w:tcPr>
            <w:tcW w:type="dxa" w:w="1704"/>
          </w:tcPr>
          <w:p>
            <w:r>
              <w:rPr>
                <w:rFonts w:ascii="宋体" w:hAnsi="宋体"/>
                <w:sz w:val="16"/>
              </w:rPr>
              <w:t>1969—2024</w:t>
            </w:r>
          </w:p>
        </w:tc>
        <w:tc>
          <w:tcPr>
            <w:tcW w:type="dxa" w:w="1704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  <w:tc>
          <w:tcPr>
            <w:tcW w:type="dxa" w:w="1704"/>
          </w:tcPr>
          <w:p>
            <w:r>
              <w:rPr>
                <w:rFonts w:ascii="宋体" w:hAnsi="宋体"/>
                <w:sz w:val="16"/>
              </w:rPr>
              <w:t>{"(NA)": 6588}</w:t>
            </w:r>
          </w:p>
        </w:tc>
      </w:tr>
      <w:tr>
        <w:tc>
          <w:tcPr>
            <w:tcW w:type="dxa" w:w="1704"/>
          </w:tcPr>
          <w:p>
            <w:r>
              <w:rPr>
                <w:rFonts w:ascii="宋体" w:hAnsi="宋体"/>
                <w:sz w:val="16"/>
              </w:rPr>
              <w:t>CAINC4__ALL_AREAS.csv</w:t>
            </w:r>
          </w:p>
        </w:tc>
        <w:tc>
          <w:tcPr>
            <w:tcW w:type="dxa" w:w="1704"/>
          </w:tcPr>
          <w:p>
            <w:r>
              <w:rPr>
                <w:rFonts w:ascii="宋体" w:hAnsi="宋体"/>
                <w:sz w:val="16"/>
              </w:rPr>
              <w:t>64,180</w:t>
            </w:r>
          </w:p>
        </w:tc>
        <w:tc>
          <w:tcPr>
            <w:tcW w:type="dxa" w:w="1704"/>
          </w:tcPr>
          <w:p>
            <w:r>
              <w:rPr>
                <w:rFonts w:ascii="宋体" w:hAnsi="宋体"/>
                <w:sz w:val="16"/>
              </w:rPr>
              <w:t>每个GeoFIPS含全国、区域、州、县/县等价体、合并及历史地域；不能由5位格式判县；GeoFIPS × LineCode宽年份；20个LineCode</w:t>
            </w:r>
          </w:p>
        </w:tc>
        <w:tc>
          <w:tcPr>
            <w:tcW w:type="dxa" w:w="1704"/>
          </w:tcPr>
          <w:p>
            <w:r>
              <w:rPr>
                <w:rFonts w:ascii="宋体" w:hAnsi="宋体"/>
                <w:sz w:val="16"/>
              </w:rPr>
              <w:t>1969—2024</w:t>
            </w:r>
          </w:p>
        </w:tc>
        <w:tc>
          <w:tcPr>
            <w:tcW w:type="dxa" w:w="1704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  <w:tc>
          <w:tcPr>
            <w:tcW w:type="dxa" w:w="1704"/>
          </w:tcPr>
          <w:p>
            <w:r>
              <w:rPr>
                <w:rFonts w:ascii="宋体" w:hAnsi="宋体"/>
                <w:sz w:val="16"/>
              </w:rPr>
              <w:t>{"(NA)": 43920}</w:t>
            </w:r>
          </w:p>
        </w:tc>
      </w:tr>
      <w:tr>
        <w:tc>
          <w:tcPr>
            <w:tcW w:type="dxa" w:w="1704"/>
          </w:tcPr>
          <w:p>
            <w:r>
              <w:rPr>
                <w:rFonts w:ascii="宋体" w:hAnsi="宋体"/>
                <w:sz w:val="16"/>
              </w:rPr>
              <w:t>co-est2024-alldata.csv</w:t>
            </w:r>
          </w:p>
        </w:tc>
        <w:tc>
          <w:tcPr>
            <w:tcW w:type="dxa" w:w="1704"/>
          </w:tcPr>
          <w:p>
            <w:r>
              <w:rPr>
                <w:rFonts w:ascii="宋体" w:hAnsi="宋体"/>
                <w:sz w:val="16"/>
              </w:rPr>
              <w:t>3,195</w:t>
            </w:r>
          </w:p>
        </w:tc>
        <w:tc>
          <w:tcPr>
            <w:tcW w:type="dxa" w:w="1704"/>
          </w:tcPr>
          <w:p>
            <w:r>
              <w:rPr>
                <w:rFonts w:ascii="宋体" w:hAnsi="宋体"/>
                <w:sz w:val="16"/>
              </w:rPr>
              <w:t>SUMLEV=040州级与SUMLEV=050县级；本分析仅以050的STATE+COUNTY为目标；地域宽指标/年份人口估计及变化构成</w:t>
            </w:r>
          </w:p>
        </w:tc>
        <w:tc>
          <w:tcPr>
            <w:tcW w:type="dxa" w:w="1704"/>
          </w:tcPr>
          <w:p>
            <w:r>
              <w:rPr>
                <w:rFonts w:ascii="宋体" w:hAnsi="宋体"/>
                <w:sz w:val="16"/>
              </w:rPr>
              <w:t>人口估计2020—2024（另含2020估计基数）</w:t>
            </w:r>
          </w:p>
        </w:tc>
        <w:tc>
          <w:tcPr>
            <w:tcW w:type="dxa" w:w="1704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  <w:tc>
          <w:tcPr>
            <w:tcW w:type="dxa" w:w="1704"/>
          </w:tcPr>
          <w:p>
            <w:r>
              <w:rPr>
                <w:rFonts w:ascii="宋体" w:hAnsi="宋体"/>
                <w:sz w:val="16"/>
              </w:rPr>
              <w:t>{}</w:t>
            </w:r>
          </w:p>
        </w:tc>
      </w:tr>
      <w:tr>
        <w:tc>
          <w:tcPr>
            <w:tcW w:type="dxa" w:w="1704"/>
          </w:tcPr>
          <w:p>
            <w:r>
              <w:rPr>
                <w:rFonts w:ascii="宋体" w:hAnsi="宋体"/>
                <w:sz w:val="16"/>
              </w:rPr>
              <w:t>national_county2020.txt</w:t>
            </w:r>
          </w:p>
        </w:tc>
        <w:tc>
          <w:tcPr>
            <w:tcW w:type="dxa" w:w="1704"/>
          </w:tcPr>
          <w:p>
            <w:r>
              <w:rPr>
                <w:rFonts w:ascii="宋体" w:hAnsi="宋体"/>
                <w:sz w:val="16"/>
              </w:rPr>
              <w:t>3,235</w:t>
            </w:r>
          </w:p>
        </w:tc>
        <w:tc>
          <w:tcPr>
            <w:tcW w:type="dxa" w:w="1704"/>
          </w:tcPr>
          <w:p>
            <w:r>
              <w:rPr>
                <w:rFonts w:ascii="宋体" w:hAnsi="宋体"/>
                <w:sz w:val="16"/>
              </w:rPr>
              <w:t>2020全国县/县等价体代码记录；STATEFP+COUNTYFP代码及名称/分类/功能状态</w:t>
            </w:r>
          </w:p>
        </w:tc>
        <w:tc>
          <w:tcPr>
            <w:tcW w:type="dxa" w:w="1704"/>
          </w:tcPr>
          <w:p>
            <w:r>
              <w:rPr>
                <w:rFonts w:ascii="宋体" w:hAnsi="宋体"/>
                <w:sz w:val="16"/>
              </w:rPr>
              <w:t>2020代码版本（文件名所示；无年度数值列）</w:t>
            </w:r>
          </w:p>
        </w:tc>
        <w:tc>
          <w:tcPr>
            <w:tcW w:type="dxa" w:w="1704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  <w:tc>
          <w:tcPr>
            <w:tcW w:type="dxa" w:w="1704"/>
          </w:tcPr>
          <w:p>
            <w:r>
              <w:rPr>
                <w:rFonts w:ascii="宋体" w:hAnsi="宋体"/>
                <w:sz w:val="16"/>
              </w:rPr>
              <w:t>{}</w:t>
            </w:r>
          </w:p>
        </w:tc>
      </w:tr>
    </w:tbl>
    <w:p>
      <w:r>
        <w:t>指标按原表LineCode和Description确定：CAINC1的1=个人收入（千美元）、2=人口（人）、3=人均个人收入（美元）；CAINC4的10=个人收入、45=按居住地净劳动收入、46=股息利息租金、47=个人经常转移收入，后三项及总收入单位均为千美元。</w:t>
      </w:r>
    </w:p>
    <w:p>
      <w:pPr>
        <w:pStyle w:val="Heading1"/>
      </w:pPr>
      <w:r>
        <w:t>地域覆盖与不能强拼的例外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rFonts w:ascii="宋体" w:hAnsi="宋体"/>
                <w:sz w:val="16"/>
              </w:rPr>
              <w:t>项目</w:t>
            </w:r>
          </w:p>
        </w:tc>
        <w:tc>
          <w:tcPr>
            <w:tcW w:type="dxa" w:w="5112"/>
          </w:tcPr>
          <w:p>
            <w:r>
              <w:rPr>
                <w:rFonts w:ascii="宋体" w:hAnsi="宋体"/>
                <w:sz w:val="16"/>
              </w:rPr>
              <w:t>数量</w:t>
            </w:r>
          </w:p>
        </w:tc>
      </w:tr>
      <w:tr>
        <w:tc>
          <w:tcPr>
            <w:tcW w:type="dxa" w:w="5112"/>
          </w:tcPr>
          <w:p>
            <w:r>
              <w:rPr>
                <w:rFonts w:ascii="宋体" w:hAnsi="宋体"/>
                <w:sz w:val="16"/>
              </w:rPr>
              <w:t>Census 2024 SUMLEV=050目标</w:t>
            </w:r>
          </w:p>
        </w:tc>
        <w:tc>
          <w:tcPr>
            <w:tcW w:type="dxa" w:w="5112"/>
          </w:tcPr>
          <w:p>
            <w:r>
              <w:rPr>
                <w:rFonts w:ascii="宋体" w:hAnsi="宋体"/>
                <w:sz w:val="16"/>
              </w:rPr>
              <w:t>3,144</w:t>
            </w:r>
          </w:p>
        </w:tc>
      </w:tr>
      <w:tr>
        <w:tc>
          <w:tcPr>
            <w:tcW w:type="dxa" w:w="5112"/>
          </w:tcPr>
          <w:p>
            <w:r>
              <w:rPr>
                <w:rFonts w:ascii="宋体" w:hAnsi="宋体"/>
                <w:sz w:val="16"/>
              </w:rPr>
              <w:t>BEA地域</w:t>
            </w:r>
          </w:p>
        </w:tc>
        <w:tc>
          <w:tcPr>
            <w:tcW w:type="dxa" w:w="5112"/>
          </w:tcPr>
          <w:p>
            <w:r>
              <w:rPr>
                <w:rFonts w:ascii="宋体" w:hAnsi="宋体"/>
                <w:sz w:val="16"/>
              </w:rPr>
              <w:t>3,209</w:t>
            </w:r>
          </w:p>
        </w:tc>
      </w:tr>
      <w:tr>
        <w:tc>
          <w:tcPr>
            <w:tcW w:type="dxa" w:w="5112"/>
          </w:tcPr>
          <w:p>
            <w:r>
              <w:rPr>
                <w:rFonts w:ascii="宋体" w:hAnsi="宋体"/>
                <w:sz w:val="16"/>
              </w:rPr>
              <w:t>直接同码</w:t>
            </w:r>
          </w:p>
        </w:tc>
        <w:tc>
          <w:tcPr>
            <w:tcW w:type="dxa" w:w="5112"/>
          </w:tcPr>
          <w:p>
            <w:r>
              <w:rPr>
                <w:rFonts w:ascii="宋体" w:hAnsi="宋体"/>
                <w:sz w:val="16"/>
              </w:rPr>
              <w:t>3,091</w:t>
            </w:r>
          </w:p>
        </w:tc>
      </w:tr>
      <w:tr>
        <w:tc>
          <w:tcPr>
            <w:tcW w:type="dxa" w:w="5112"/>
          </w:tcPr>
          <w:p>
            <w:r>
              <w:rPr>
                <w:rFonts w:ascii="宋体" w:hAnsi="宋体"/>
                <w:sz w:val="16"/>
              </w:rPr>
              <w:t>Census目标无BEA</w:t>
            </w:r>
          </w:p>
        </w:tc>
        <w:tc>
          <w:tcPr>
            <w:tcW w:type="dxa" w:w="5112"/>
          </w:tcPr>
          <w:p>
            <w:r>
              <w:rPr>
                <w:rFonts w:ascii="宋体" w:hAnsi="宋体"/>
                <w:sz w:val="16"/>
              </w:rPr>
              <w:t>53</w:t>
            </w:r>
          </w:p>
        </w:tc>
      </w:tr>
      <w:tr>
        <w:tc>
          <w:tcPr>
            <w:tcW w:type="dxa" w:w="5112"/>
          </w:tcPr>
          <w:p>
            <w:r>
              <w:rPr>
                <w:rFonts w:ascii="宋体" w:hAnsi="宋体"/>
                <w:sz w:val="16"/>
              </w:rPr>
              <w:t>BEA不在Census目标</w:t>
            </w:r>
          </w:p>
        </w:tc>
        <w:tc>
          <w:tcPr>
            <w:tcW w:type="dxa" w:w="5112"/>
          </w:tcPr>
          <w:p>
            <w:r>
              <w:rPr>
                <w:rFonts w:ascii="宋体" w:hAnsi="宋体"/>
                <w:sz w:val="16"/>
              </w:rPr>
              <w:t>118</w:t>
            </w:r>
          </w:p>
        </w:tc>
      </w:tr>
      <w:tr>
        <w:tc>
          <w:tcPr>
            <w:tcW w:type="dxa" w:w="5112"/>
          </w:tcPr>
          <w:p>
            <w:r>
              <w:rPr>
                <w:rFonts w:ascii="宋体" w:hAnsi="宋体"/>
                <w:sz w:val="16"/>
              </w:rPr>
              <w:t>Census目标不在2020代码表</w:t>
            </w:r>
          </w:p>
        </w:tc>
        <w:tc>
          <w:tcPr>
            <w:tcW w:type="dxa" w:w="5112"/>
          </w:tcPr>
          <w:p>
            <w:r>
              <w:rPr>
                <w:rFonts w:ascii="宋体" w:hAnsi="宋体"/>
                <w:sz w:val="16"/>
              </w:rPr>
              <w:t>9</w:t>
            </w:r>
          </w:p>
        </w:tc>
      </w:tr>
      <w:tr>
        <w:tc>
          <w:tcPr>
            <w:tcW w:type="dxa" w:w="5112"/>
          </w:tcPr>
          <w:p>
            <w:r>
              <w:rPr>
                <w:rFonts w:ascii="宋体" w:hAnsi="宋体"/>
                <w:sz w:val="16"/>
              </w:rPr>
              <w:t>2020代码表不在Census目标</w:t>
            </w:r>
          </w:p>
        </w:tc>
        <w:tc>
          <w:tcPr>
            <w:tcW w:type="dxa" w:w="5112"/>
          </w:tcPr>
          <w:p>
            <w:r>
              <w:rPr>
                <w:rFonts w:ascii="宋体" w:hAnsi="宋体"/>
                <w:sz w:val="16"/>
              </w:rPr>
              <w:t>100</w:t>
            </w:r>
          </w:p>
        </w:tc>
      </w:tr>
      <w:tr>
        <w:tc>
          <w:tcPr>
            <w:tcW w:type="dxa" w:w="5112"/>
          </w:tcPr>
          <w:p>
            <w:r>
              <w:rPr>
                <w:rFonts w:ascii="宋体" w:hAnsi="宋体"/>
                <w:sz w:val="16"/>
              </w:rPr>
              <w:t>BEA集合外明确合并地区</w:t>
            </w:r>
          </w:p>
        </w:tc>
        <w:tc>
          <w:tcPr>
            <w:tcW w:type="dxa" w:w="5112"/>
          </w:tcPr>
          <w:p>
            <w:r>
              <w:rPr>
                <w:rFonts w:ascii="宋体" w:hAnsi="宋体"/>
                <w:sz w:val="16"/>
              </w:rPr>
              <w:t>25</w:t>
            </w:r>
          </w:p>
        </w:tc>
      </w:tr>
    </w:tbl>
    <w:p>
      <w:r>
        <w:t>典型不可直接匹配情形包括BEA明确用“+”或“includes”标示的合并地区，以及Census目标中没有BEA同码的县/独立市。本分析不依据相似名称分配合并地区，也不把2020代码表当成唯一真值：例如人口表新增/替换的代码仍保留在目标集合，并在覆盖表标记版本差异。</w:t>
      </w:r>
    </w:p>
    <w:p>
      <w:pPr>
        <w:pStyle w:val="Heading1"/>
      </w:pPr>
      <w:r>
        <w:t>人口差异与人均值复核</w:t>
      </w:r>
    </w:p>
    <w:p>
      <w:r>
        <w:t>对直接同码地区比较2020和2024人口。绝对差定义为BEA减Census，相对差以Census人口为分母。BEA总收入单位为千美元，因此重算人均收入使用“总收入×1,000÷人口”。按BEA人口重算的精确值与BEA发布的整数美元人均值之差应在±0.5美元内；直接匹配两端的四舍五入核验失败/不可核验共9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名次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FIPS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地区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BEA人口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Census人口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差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相对差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01001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Autauga, AL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61,464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61,464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0.000%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01003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Baldwin, AL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261,608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261,608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0.000%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01005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Barbour, AL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24,358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24,358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0.000%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01007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Bibb, AL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22,258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22,258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0.000%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01009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Blount, AL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60,163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60,163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0.000%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6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01011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Bullock, AL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9,901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9,901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0.000%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01013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Butler, AL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18,256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18,256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0.000%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01015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Calhoun, AL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116,427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116,427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0.000%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01017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Chambers, AL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33,813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33,813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0.000%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01019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Cherokee, AL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26,138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26,138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0.000%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11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01021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Chilton, AL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47,262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47,262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0.000%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12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01023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Choctaw, AL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12,052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12,052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0.000%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13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01025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Clarke, AL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22,142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22,142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0.000%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14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01027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Clay, AL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14,239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14,239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0.000%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15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01029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Cleburne, AL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15,905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15,905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0.000%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16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01031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Coffee, AL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56,358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56,358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0.000%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17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01033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Colbert, AL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58,785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58,785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0.000%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18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01035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Conecuh, AL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11,109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11,109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0.000%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19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01037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Coosa, AL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10,291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10,291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0.000%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20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01039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Covington, AL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37,748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37,748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0.000%</w:t>
            </w:r>
          </w:p>
        </w:tc>
      </w:tr>
    </w:tbl>
    <w:p>
      <w:r>
        <w:t>上述每项在audit.xlsx中均定位到BEA原始行、LineCode 2及Census原始行、POPESTIMATE2024字段。原件本身没有足够元数据证明差异原因，因此仅将其列为估计版本、处理或口径待核验项，不自动判定任何一方原始数据错误。</w:t>
      </w:r>
    </w:p>
    <w:p>
      <w:pPr>
        <w:pStyle w:val="Heading1"/>
      </w:pPr>
      <w:r>
        <w:t>名义人均收入增长：双人口口径</w:t>
      </w:r>
    </w:p>
    <w:p>
      <w:r>
        <w:t>排名使用未四舍五入增长率降序，同值按FIPS升序。人均增长由同一BEA总收入分别除以BEA人口和Census人口计算。贡献百分点定义为各分项2020—2024增量除以2020总收入乘100，允许负值；三项贡献之和应等于总收入增幅百分点。对数拆分为ln(2024总收入/2020总收入)−ln(2024人口/2020人口)，只对正值计算。</w:t>
      </w:r>
    </w:p>
    <w:p>
      <w:pPr>
        <w:pStyle w:val="Heading2"/>
      </w:pPr>
      <w:r>
        <w:t>按BEA人口计算的前20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名次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FIPS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地区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名义人均增长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净劳动贡献pp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财产贡献pp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转移贡献pp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48301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Loving, TX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123.22%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46.10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13.26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0.56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48033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Borden, TX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102.59%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56.92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19.56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-0.71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40147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Washington, OK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99.20%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95.73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4.89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4.09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48101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Cottle, TX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94.48%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78.52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-0.50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2.06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31139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Pierce, NE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87.67%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80.29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5.00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2.13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6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48389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Reeves, TX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82.43%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39.18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8.30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0.22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56039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Teton, WY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78.45%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13.13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64.48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-0.02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48461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Upton, TX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74.94%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59.94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4.73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1.01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02230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Skagway Municipality, AK*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72.17%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53.64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5.09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-3.36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49043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Summit, UT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71.27%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24.02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48.95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0.82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11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19131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Mitchell, IA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70.12%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61.07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6.87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2.92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12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19037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Chickasaw, IA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70.11%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57.06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6.90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2.37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13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48311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McMullen, TX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69.84%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17.47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40.07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3.20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14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08017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Cheyenne, CO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69.40%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52.77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6.78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6.55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15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08097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Pitkin, CO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68.43%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17.68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44.62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-0.88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16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46125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Turner, SD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65.04%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62.79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6.38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3.49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17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46079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Lake, SD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64.70%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50.27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10.97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3.32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18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48269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King, TX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63.72%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33.10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0.27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-1.54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19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31099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Kearney, NE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63.02%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48.77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11.63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4.01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20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16013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Blaine, ID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62.35%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11.98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55.68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0.79</w:t>
            </w:r>
          </w:p>
        </w:tc>
      </w:tr>
    </w:tbl>
    <w:p>
      <w:pPr>
        <w:pStyle w:val="Heading2"/>
      </w:pPr>
      <w:r>
        <w:t>按Census人口计算的前20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名次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FIPS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地区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名义人均增长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净劳动贡献pp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财产贡献pp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转移贡献pp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48301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Loving, TX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123.22%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46.10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13.26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0.56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48033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Borden, TX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102.59%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56.92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19.56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-0.71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40147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Washington, OK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99.20%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95.73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4.89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4.09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48101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Cottle, TX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94.48%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78.52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-0.50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2.06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31139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Pierce, NE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87.67%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80.29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5.00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2.13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6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48389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Reeves, TX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82.43%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39.18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8.30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0.22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56039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Teton, WY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78.45%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13.13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64.48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-0.02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48461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Upton, TX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74.94%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59.94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4.73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1.01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02230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Skagway Municipality, AK*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72.17%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53.64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5.09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-3.36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49043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Summit, UT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71.27%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24.02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48.95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0.82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11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19131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Mitchell, IA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70.12%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61.07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6.87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2.92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12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19037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Chickasaw, IA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70.11%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57.06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6.90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2.37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13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48311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McMullen, TX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69.84%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17.47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40.07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3.20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14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08017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Cheyenne, CO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69.40%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52.77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6.78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6.55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15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08097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Pitkin, CO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68.43%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17.68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44.62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-0.88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16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46125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Turner, SD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65.04%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62.79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6.38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3.49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17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46079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Lake, SD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64.70%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50.27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10.97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3.32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18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48269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King, TX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63.72%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33.10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0.27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-1.54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19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31099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Kearney, NE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63.02%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48.77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11.63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4.01</w:t>
            </w:r>
          </w:p>
        </w:tc>
      </w:tr>
      <w:tr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20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16013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Blaine, ID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62.35%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11.98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55.68</w:t>
            </w:r>
          </w:p>
        </w:tc>
        <w:tc>
          <w:tcPr>
            <w:tcW w:type="dxa" w:w="1461"/>
          </w:tcPr>
          <w:p>
            <w:r>
              <w:rPr>
                <w:rFonts w:ascii="宋体" w:hAnsi="宋体"/>
                <w:sz w:val="16"/>
              </w:rPr>
              <w:t>0.79</w:t>
            </w:r>
          </w:p>
        </w:tc>
      </w:tr>
    </w:tbl>
    <w:p>
      <w:pPr>
        <w:pStyle w:val="Heading2"/>
      </w:pPr>
      <w:r>
        <w:t>集合与名次变化</w:t>
      </w:r>
    </w:p>
    <w:p>
      <w:r>
        <w:t>共同入围20个；仅BEA人口口径入围：无；仅Census人口口径入围：无。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FIPS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BEA口径名次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Census口径名次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后者减前者</w:t>
            </w:r>
          </w:p>
        </w:tc>
      </w:tr>
      <w:tr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02230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9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08017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14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14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08097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15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15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16013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20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20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19037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12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12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19131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11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11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31099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19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19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31139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5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40147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3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46079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17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17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46125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16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16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48033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2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48101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4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48269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18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18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48301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1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48311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13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13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48389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6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6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48461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8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49043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10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56039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7</w:t>
            </w:r>
          </w:p>
        </w:tc>
        <w:tc>
          <w:tcPr>
            <w:tcW w:type="dxa" w:w="2556"/>
          </w:tcPr>
          <w:p>
            <w:r>
              <w:rPr>
                <w:rFonts w:ascii="宋体" w:hAnsi="宋体"/>
                <w:sz w:val="16"/>
              </w:rPr>
              <w:t>0</w:t>
            </w:r>
          </w:p>
        </w:tc>
      </w:tr>
    </w:tbl>
    <w:p>
      <w:pPr>
        <w:pStyle w:val="Heading1"/>
      </w:pPr>
      <w:r>
        <w:t>解释边界与追查路径</w:t>
      </w:r>
    </w:p>
    <w:p>
      <w:pPr>
        <w:pStyle w:val="ListBullet"/>
      </w:pPr>
      <w:r>
        <w:t>audit.xlsx的“覆盖与例外”保留三套代码存在性、名称、功能状态和原始行号；“跨表指标核验”逐地域—年份保留总收入、人口和发布人均值的两表LineCode、原值和差；“增长可比集与排除”保留每个直接匹配地区的资格及逐条排除原因。</w:t>
      </w:r>
    </w:p>
    <w:p>
      <w:pPr>
        <w:pStyle w:val="ListBullet"/>
      </w:pPr>
      <w:r>
        <w:t>results.json保存工作簿所用完整结构化结果；analysis.py可在离线环境重建全部交付。原始标记如(NA)保持为不可解析，不填0。</w:t>
      </w:r>
    </w:p>
    <w:p>
      <w:pPr>
        <w:pStyle w:val="ListBullet"/>
      </w:pPr>
      <w:r>
        <w:t>排名只描述2020到2024名义收入与人口分母的联合变化。未使用价格指数、住房成本、税负、收入分布或修订历史，故不能推导实际生活水平改善，也不能由人口差异单独推断数据质量优劣。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