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 真实来源参考意见</w:t>
      </w:r>
    </w:p>
    <w:p>
      <w:pPr>
        <w:pStyle w:val="Heading1"/>
      </w:pPr>
      <w:r>
        <w:t>发布结论</w:t>
      </w:r>
    </w:p>
    <w:p>
      <w:r>
        <w:t>发布范围限可直接按代码比较的地区；Census目标共3144县，实际直接匹配3091县，满足增长贡献端点条件3082县。其余保持在覆盖/排除记录，不靠名称补造映射。</w:t>
      </w:r>
    </w:p>
    <w:p>
      <w:r>
        <w:t>两份排名前20交集为20个FIPS，应分别展示，不隐去人口口径对结果的影响。</w:t>
      </w:r>
    </w:p>
    <w:p>
      <w:pPr>
        <w:pStyle w:val="Heading1"/>
      </w:pPr>
      <w:r>
        <w:t>人口差异样例</w:t>
      </w:r>
    </w:p>
    <w:p>
      <w:r>
        <w:t>01001 Autauga, AL：2024 BEA减Census人口差0，相对差0.000000%；两端数值和源行见JSON endpoints/source_rows。差异不自动证明任何一份公开原件错误。</w:t>
      </w:r>
    </w:p>
    <w:p>
      <w:r>
        <w:t>01003 Baldwin, AL：2024 BEA减Census人口差0，相对差0.000000%；两端数值和源行见JSON endpoints/source_rows。差异不自动证明任何一份公开原件错误。</w:t>
      </w:r>
    </w:p>
    <w:p>
      <w:r>
        <w:t>01005 Barbour, AL：2024 BEA减Census人口差0，相对差0.000000%；两端数值和源行见JSON endpoints/source_rows。差异不自动证明任何一份公开原件错误。</w:t>
      </w:r>
    </w:p>
    <w:p>
      <w:pPr>
        <w:pStyle w:val="Heading1"/>
      </w:pPr>
      <w:r>
        <w:t>核验及使用限制</w:t>
      </w:r>
    </w:p>
    <w:p>
      <w:r>
        <w:t>2020—2024直接匹配记录中，跨表总收入不一致有0项，三分项非零加总残差有0项。没有发现就报告0，不为增加难度捏造冲突。</w:t>
      </w:r>
    </w:p>
    <w:p>
      <w:r>
        <w:t>BEA金额为千美元、人均为美元，重算前必须乘1000。贡献为分项收入增量/基期总收入的百分点，不是各项自身增长率。对数分解是收入变化减人口变化；负值、抑制值及不可比地域不填0。</w:t>
      </w:r>
    </w:p>
    <w:p>
      <w:r>
        <w:t>现有县代码与历史2020代码并不等同；本包没有官方合并地域交叉表，不能自行拆分。所有增长均为名义值，不等于通胀调整后生活水平改善。</w:t>
      </w:r>
    </w:p>
    <w:p>
      <w:pPr>
        <w:pStyle w:val="Heading1"/>
      </w:pPr>
      <w:r>
        <w:t>参考稿状态</w:t>
      </w:r>
    </w:p>
    <w:p>
      <w:r>
        <w:t>本稿与配套代码为作者参考解，待独立领域审核及正式判分；不声称Gold已验收。输入为保留原始字节的公开快照，来源记录在题包provenance中。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