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 真实来源参考意见</w:t>
      </w:r>
    </w:p>
    <w:p>
      <w:pPr>
        <w:pStyle w:val="Heading1"/>
      </w:pPr>
      <w:r>
        <w:t>审查结论</w:t>
      </w:r>
    </w:p>
    <w:p>
      <w:r>
        <w:t>忠诚派的8个真实招募起点可达34个单位、26条升级边。招募、领袖、可达目标分别列示。</w:t>
      </w:r>
    </w:p>
    <w:p>
      <w:r>
        <w:t>将静态升级目录用于确定游戏内验证问题，不把面板武器数值当完整对战胜率。路径XP是非终点基础experience之和，不包含实际击杀收益、traits、经验倍率或AMLA。</w:t>
      </w:r>
    </w:p>
    <w:p>
      <w:pPr>
        <w:pStyle w:val="Heading1"/>
      </w:pPr>
      <w:r>
        <w:t>存在权衡的真实升级边</w:t>
      </w:r>
    </w:p>
    <w:p>
      <w:r>
        <w:t>Knight → Grand Knight：HP变化26、movement变化-1、alignment改变=False。源单位和目标单位的真实属性/武器/覆盖参见工作簿。</w:t>
      </w:r>
    </w:p>
    <w:p>
      <w:r>
        <w:t>Mage → Red Mage：HP变化18、movement变化0、alignment改变=True。源单位和目标单位的真实属性/武器/覆盖参见工作簿。</w:t>
      </w:r>
    </w:p>
    <w:p>
      <w:r>
        <w:t>Merman Warrior → Merman Hoplite：HP变化2、movement变化-1、alignment改变=False。源单位和目标单位的真实属性/武器/覆盖参见工作簿。</w:t>
      </w:r>
    </w:p>
    <w:p>
      <w:pPr>
        <w:pStyle w:val="Heading1"/>
      </w:pPr>
      <w:r>
        <w:t>能力依赖与建议实测</w:t>
      </w:r>
    </w:p>
    <w:p>
      <w:r>
        <w:t>Horseman与骑士路线的charge须结合攻击/反击条件检验；不能把面板值无条件乘二作为所有场景的净收益。建议比较实际冲锋时对方反击距离和生存风险。</w:t>
      </w:r>
    </w:p>
    <w:p>
      <w:r>
        <w:t>Spearman的firststrike影响交互顺序，不能当作每次攻击都固定额外伤害；建议在可能提前击杀的真实条件下用引擎核验顺序与收益。</w:t>
      </w:r>
    </w:p>
    <w:p>
      <w:r>
        <w:t>Mage路线的magical影响命中规则，不能以damage×number/cost替代地形和抗性相关评价；建议比较法师各分支在高防御地形、不同伤害抗性条件下的表现。</w:t>
      </w:r>
    </w:p>
    <w:p>
      <w:r>
        <w:t>三个验证问题均未在本题实际运行游戏。原始防御为被命中比例，抗性配置表示承受伤害比例，负防御还涉及上限；具体解释应回查src/movetype.cpp，不填补原件中未显式提供的地形默认值。</w:t>
      </w:r>
    </w:p>
    <w:p>
      <w:pPr>
        <w:pStyle w:val="Heading1"/>
      </w:pPr>
      <w:r>
        <w:t>参考稿状态</w:t>
      </w:r>
    </w:p>
    <w:p>
      <w:r>
        <w:t>本稿与配套代码为作者参考解，待独立领域审核及正式判分；不声称Gold已验收。输入为保留原始字节的公开快照，来源记录在题包provenance中。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