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芝加哥2024年付款复核备忘录</w:t>
      </w:r>
    </w:p>
    <w:p>
      <w:pPr>
        <w:jc w:val="center"/>
      </w:pPr>
      <w:r>
        <w:rPr>
          <w:b/>
        </w:rPr>
        <w:t>研究截点：2024-12-31｜仅基于两份公开快照</w:t>
      </w:r>
    </w:p>
    <w:p>
      <w:pPr>
        <w:pStyle w:val="Heading1"/>
      </w:pPr>
      <w:r>
        <w:t>结论先行</w:t>
      </w:r>
    </w:p>
    <w:p>
      <w:pPr>
        <w:pStyle w:val="ListBullet"/>
      </w:pPr>
      <w:r>
        <w:t>付款快照混有两种不可直接相加的粒度：41,335条具体日期行，净额$4,582,627,056.36；4,046条check_date='2024'年度汇总行，净额$5,746,702,036.83。4个合同号同时出现在两类中；没有底层交易标识证明互斥，因此本复核不报告消除重叠后的“真实总支出”。</w:t>
      </w:r>
    </w:p>
    <w:p>
      <w:pPr>
        <w:pStyle w:val="ListBullet"/>
      </w:pPr>
      <w:r>
        <w:t>截至年末可选出21,643个合同号；1个合同号在最高批准日期和修订号下仍有内容冲突候选，未擅选。年度付款中，3,913行/3,650个合同号/净额$5,644,729,930.01唯一匹配，133行/133个合同号/净额$101,972,106.82未匹配。</w:t>
      </w:r>
    </w:p>
    <w:p>
      <w:pPr>
        <w:pStyle w:val="ListBullet"/>
      </w:pPr>
      <w:r>
        <w:t>若直接采用全快照最新版本，与年末视图不同的合同共9,024个：3,390个年末既有合同被未来版本替换，另引入5,634个截至年末尚不存在的合同；其中1,727个带有年度付款，付款敞口净额$3,050,836,800.61。这是时点偏差，不是付款错误。</w:t>
      </w:r>
    </w:p>
    <w:p>
      <w:pPr>
        <w:pStyle w:val="ListBullet"/>
      </w:pPr>
      <w:r>
        <w:t>优先补档分两组：先查年度未唯一匹配且绝对净额最大的合同；再查唯一匹配但付款/正授予额比率最高的合同。高比率只表示快照字段之间需要解释，不等于违法、超付或损失。</w:t>
      </w:r>
    </w:p>
    <w:p>
      <w:pPr>
        <w:pStyle w:val="Heading1"/>
      </w:pPr>
      <w:r>
        <w:t>已核实事实</w:t>
      </w:r>
    </w:p>
    <w:p>
      <w:pPr>
        <w:pStyle w:val="ListBullet"/>
      </w:pPr>
      <w:r>
        <w:t>付款CSV以物理行号作为稳定来源键。voucher_number及完整字段均存在重复，不能假定凭证号唯一；重复记录未删除。合同CSV同样以物理行号为稳定键，合同号+修订号+批准日期有9个重复组，完整行无重复。</w:t>
      </w:r>
    </w:p>
    <w:p>
      <w:pPr>
        <w:pStyle w:val="ListBullet"/>
      </w:pPr>
      <w:r>
        <w:t>付款中保留两条负数：原始行8720为逐日DV付款-$500.00；原始行39009为合同192984年度汇总-$4,051.61。负数被视为冲销/调整线索并纳入净额。</w:t>
      </w:r>
    </w:p>
    <w:p>
      <w:pPr>
        <w:pStyle w:val="ListBullet"/>
      </w:pPr>
      <w:r>
        <w:t>年末版本规则严格为：先排除批准日期晚于2024-12-31的记录，再按合同号选批准日期最新、其后数值修订号最大；最高顺序内容冲突全部保留。授予额是所选版本字段，不是累计付款。</w:t>
      </w:r>
    </w:p>
    <w:p>
      <w:pPr>
        <w:pStyle w:val="ListBullet"/>
      </w:pPr>
      <w:r>
        <w:t>逐日付款中直接付款/空号共41,276行，净额$4,570,265,105.77，独立归类且未按供应商名称强配。两个粒度关联后金额差额均为$0.00。</w:t>
      </w:r>
    </w:p>
    <w:p>
      <w:pPr>
        <w:pStyle w:val="Heading1"/>
      </w:pPr>
      <w:r>
        <w:t>优先追查与完整证据链示范</w:t>
      </w:r>
    </w:p>
    <w:p>
      <w:r>
        <w:rPr>
          <w:b/>
        </w:rPr>
        <w:t>合同69568（未匹配）：</w:t>
      </w:r>
      <w:r>
        <w:t>付款原始行42295记录年度净额$33,568,319.28、供应商CONNECT CHICAGO ALLIANCE JV；年末合同视图无该合同号。下一步取得合同封面、年末前批准/修订、发票及付款凭证，并核对付款合同号录入。现有证据只能说明快照间未匹配。</w:t>
      </w:r>
    </w:p>
    <w:p>
      <w:r>
        <w:rPr>
          <w:b/>
        </w:rPr>
        <w:t>合同195006（高比率）：</w:t>
      </w:r>
      <w:r>
        <w:t>付款原始行776记录年度净额$814,852.00；年末所选合同原始行35139，批准日2024-04-01、修订6、授予额$0.10，付款与合同供应商文本分别为“COMMUNITY &amp; ECONOMIC DEVELOPMENT ASSOCIATION OF COOK COUNTY, INC. (CEDA)”和“COMMUNITY &amp; ECONOMIC DEVELOPMENT ASSOCIATION OF COOK COUNTY, INC. (CEDA)”，比率8,148,520.00倍。下一步核对合同原件、授予额字段口径、全部修订及发票；不能仅据此认定超付。</w:t>
      </w:r>
    </w:p>
    <w:p>
      <w:r>
        <w:rPr>
          <w:b/>
        </w:rPr>
        <w:t>合同98065（未来版本偏差）：</w:t>
      </w:r>
      <w:r>
        <w:t>付款原始行为11461，年度净额$202,883,343.79；年末版本为合同原始行36571（2024-05-22、修订4、授予额0），全快照最新变为原始行50708（2026-05-14、修订7、授予额0）。采用最新法会把未来批准版本倒灌至年末。</w:t>
      </w:r>
    </w:p>
    <w:p>
      <w:r>
        <w:rPr>
          <w:b/>
        </w:rPr>
        <w:t>合同186546（版本冲突）：</w:t>
      </w:r>
      <w:r>
        <w:t>原始行19880，2022-03-25、修订0、供应商“ST. LEONARD'S MINISTRIES”、授予额$101,716.00；原始行19899，2022-03-25、修订0、供应商“ST. LEONARD'S MINISTRIES|CLEANED-UP”、授予额$101,716.00。最高批准日期和修订号相同但内容不一致，年末规则不能唯一选择；应调取采购系统版本审计轨迹和合同原件。</w:t>
      </w:r>
    </w:p>
    <w:p>
      <w:pPr>
        <w:pStyle w:val="Heading1"/>
      </w:pPr>
      <w:r>
        <w:t>需要补档的异常</w:t>
      </w:r>
    </w:p>
    <w:p>
      <w:pPr>
        <w:pStyle w:val="ListBullet"/>
      </w:pPr>
      <w:r>
        <w:t>“未匹配追查”前20按年度付款绝对净额降序，首两项为合同69568（$33,568,319.28）和合同27905（$25,928,587.14）。应取得合同号主数据、合同封面、年末前批准修订与发票链。</w:t>
      </w:r>
    </w:p>
    <w:p>
      <w:pPr>
        <w:pStyle w:val="ListBullet"/>
      </w:pPr>
      <w:r>
        <w:t>“高比率追查”前20按付款/授予额降序；应确认授予额字段是否代表净变更、单一修订或其他口径，以及付款是否跨期、跨订单或跨版本。名称差异仅记录为证据问题，不用于认定实体同一。</w:t>
      </w:r>
    </w:p>
    <w:p>
      <w:pPr>
        <w:pStyle w:val="ListBullet"/>
      </w:pPr>
      <w:r>
        <w:t>另有740个付款合同的所选授予额为零、37个为负、0个缺失；这些项目在“例外”中单列，不制造无穷比率。</w:t>
      </w:r>
    </w:p>
    <w:p>
      <w:pPr>
        <w:pStyle w:val="Heading1"/>
      </w:pPr>
      <w:r>
        <w:t>不能下的结论</w:t>
      </w:r>
    </w:p>
    <w:p>
      <w:pPr>
        <w:pStyle w:val="ListBullet"/>
      </w:pPr>
      <w:r>
        <w:t>不能把付款高于所选版本授予额直接写成违法、超付、浪费或欺诈；快照不含完整合同档案、发票、采购订单、总账或银行流水。</w:t>
      </w:r>
    </w:p>
    <w:p>
      <w:pPr>
        <w:pStyle w:val="ListBullet"/>
      </w:pPr>
      <w:r>
        <w:t>不能将全快照最新合同视为2024年末已获批版本；合同表含2025—2026年批准记录。</w:t>
      </w:r>
    </w:p>
    <w:p>
      <w:pPr>
        <w:pStyle w:val="ListBullet"/>
      </w:pPr>
      <w:r>
        <w:t>不能把逐日净额与年度汇总净额简单相加，也不能在无交易级映射时消除重叠后声称得到真实总支出。</w:t>
      </w:r>
    </w:p>
    <w:p>
      <w:pPr>
        <w:pStyle w:val="ListBullet"/>
      </w:pPr>
      <w:r>
        <w:t>不能依据供应商名称相似或不同强制匹配、拆分或合并实体；DV/空号必须靠付款凭证和采购依据补证。</w:t>
      </w:r>
    </w:p>
    <w:p>
      <w:pPr>
        <w:pStyle w:val="Heading1"/>
      </w:pPr>
      <w:r>
        <w:t>范围与复核路径</w:t>
      </w:r>
    </w:p>
    <w:p>
      <w:r>
        <w:t>本包仅复核Chicago_Payments_2024.csv与Chicago_Contracts_2019plus.csv的下载快照。audit.xlsx提供口径守恒、版本对照、两张前20清单和全部例外；results.json保留结构化数值和来源行号；analysis.py可离线重建三份产物。前20是取证顺序，不是违规排序。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