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华盛顿州承包商登记公开资料证据审查备忘录</w:t>
      </w:r>
    </w:p>
    <w:p>
      <w:pPr>
        <w:jc w:val="center"/>
      </w:pPr>
      <w:r>
        <w:t>证据基准日：2026-10-12｜30日观察终点：2026-11-11</w:t>
      </w:r>
    </w:p>
    <w:p>
      <w:r>
        <w:rPr>
          <w:b/>
        </w:rPr>
        <w:t>性质：</w:t>
      </w:r>
      <w:r>
        <w:t>基于下载快照的准入筛查与补证建议；不是终局法律意见，不认定违法，不替代L&amp;I或法院决定。</w:t>
      </w:r>
    </w:p>
    <w:p>
      <w:pPr>
        <w:pStyle w:val="Heading1"/>
        <w:spacing w:before="160" w:after="80"/>
      </w:pPr>
      <w:r>
        <w:t>一、问题与结论摘要</w:t>
      </w:r>
    </w:p>
    <w:p>
      <w:pPr>
        <w:pStyle w:val="ListBullet"/>
      </w:pPr>
      <w:r>
        <w:t>登记表共1,553行、1,553个唯一执照；保证金表1,724行，保险表737行。登记表未见重复执照号。</w:t>
      </w:r>
    </w:p>
    <w:p>
      <w:pPr>
        <w:pStyle w:val="ListBullet"/>
      </w:pPr>
      <w:r>
        <w:t>三表均以执照号精确连接；发现89个UBI对应多个登记执照。UBI不是保障记录主键，未据UBI或近似名称挪用任何保证金或保险。</w:t>
      </w:r>
    </w:p>
    <w:p>
      <w:pPr>
        <w:pStyle w:val="ListBullet"/>
      </w:pPr>
      <w:r>
        <w:t>保证金和保险表未发现登记表外的孤立执照；ACTIVE执照中，有6项在两类保障表均无可确认有效记录，全部为EC或LC，RCW 18.27适用未确认，仅作资料核验。</w:t>
      </w:r>
    </w:p>
    <w:p>
      <w:pPr>
        <w:pStyle w:val="ListBullet"/>
      </w:pPr>
      <w:r>
        <w:t>ACTIVE的CC记录中，有6项在2026-10-12仅一类保障无可确认有效记录；缺行或日期不足只表示证据不足。</w:t>
      </w:r>
    </w:p>
    <w:p>
      <w:pPr>
        <w:pStyle w:val="ListBullet"/>
      </w:pPr>
      <w:r>
        <w:t>未来30日有30项ACTIVE执照出现至少一类日期支持记录终止且包内无无缝后继覆盖；名单包括1项PC，其余为CC。对PC不套用18.27门槛。</w:t>
      </w:r>
    </w:p>
    <w:p>
      <w:pPr>
        <w:pStyle w:val="ListBullet"/>
      </w:pPr>
      <w:r>
        <w:t>任何日期可支持的保险行仍不足以单独证明RCW 18.27.050要求：insuranceamt不显示财产损害、单人伤亡、多人伤亡分项，也不证明除外责任、保单类型或替代指定账户。</w:t>
      </w:r>
    </w:p>
    <w:p>
      <w:pPr>
        <w:pStyle w:val="Heading1"/>
        <w:spacing w:before="160" w:after="80"/>
      </w:pPr>
      <w:r>
        <w:t>二、资料、口径与限制</w:t>
      </w:r>
    </w:p>
    <w:p>
      <w:r>
        <w:t>资料为三个Washington L&amp;I接口CSV快照及RCW_18.27.pdf。法典PDF页脚标示“Certified on 7/15/2026”；本备忘录仅据该原件分析2026-10-12筛查，不能据此证明所有更早日期的法律版本。</w:t>
      </w:r>
    </w:p>
    <w:p>
      <w:pPr>
        <w:pStyle w:val="ListBullet"/>
      </w:pPr>
      <w:r>
        <w:t>记录粒度：General每执照一行；Bond与Insurance为同一执照的历史/替换保障多行。候选键分别为General的执照号、Bond的“执照号+保证金账户+生效日+金额”、Insurance的“执照号+保单号+生效日+金额”；后两者仍存在冲突/重复，必须保留源行号。</w:t>
      </w:r>
    </w:p>
    <w:p>
      <w:pPr>
        <w:pStyle w:val="ListBullet"/>
      </w:pPr>
      <w:r>
        <w:t>日期边界：生效当日计入；到期、取消或减损日期当日起不计。该规则是本次日级筛查口径，不主张小时级法定终止结论。Until Canceled仅表示包内未给固定到期日；若未见取消/减损日，本次可作日期支持，但绝不表示永久或无条件有效。缺失或不可解析日期单列不确定。</w:t>
      </w:r>
    </w:p>
    <w:p>
      <w:pPr>
        <w:pStyle w:val="ListBullet"/>
      </w:pPr>
      <w:r>
        <w:t>金额口径：同一日期仅判断单笔日期可支持记录是否达到通常门槛，不将历史、重叠、续保或替换记录金额相加。RCW 18.27.040(4)亦说明续期等不累加担保责任。</w:t>
      </w:r>
    </w:p>
    <w:p>
      <w:pPr>
        <w:pStyle w:val="ListBullet"/>
      </w:pPr>
      <w:r>
        <w:t>身份口径：只按完整执照号连接。UBI与企业名称用于核对，不用于跨执照归属保障。主备忘录不复制个人姓名、电话或地址。</w:t>
      </w:r>
    </w:p>
    <w:p>
      <w:pPr>
        <w:pStyle w:val="Heading1"/>
        <w:spacing w:before="160" w:after="80"/>
      </w:pPr>
      <w:r>
        <w:t>三、法律适用矩阵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主题</w:t>
            </w:r>
          </w:p>
        </w:tc>
        <w:tc>
          <w:tcPr>
            <w:tcW w:type="dxa" w:w="2436"/>
          </w:tcPr>
          <w:p>
            <w:r>
              <w:t>条文/页码</w:t>
            </w:r>
          </w:p>
        </w:tc>
        <w:tc>
          <w:tcPr>
            <w:tcW w:type="dxa" w:w="2436"/>
          </w:tcPr>
          <w:p>
            <w:r>
              <w:t>规则与条件</w:t>
            </w:r>
          </w:p>
        </w:tc>
        <w:tc>
          <w:tcPr>
            <w:tcW w:type="dxa" w:w="2436"/>
          </w:tcPr>
          <w:p>
            <w:r>
              <w:t>本包证明边界</w:t>
            </w:r>
          </w:p>
        </w:tc>
      </w:tr>
      <w:tr>
        <w:tc>
          <w:tcPr>
            <w:tcW w:type="dxa" w:w="2436"/>
          </w:tcPr>
          <w:p>
            <w:r>
              <w:t>适用对象与分类</w:t>
            </w:r>
          </w:p>
        </w:tc>
        <w:tc>
          <w:tcPr>
            <w:tcW w:type="dxa" w:w="2436"/>
          </w:tcPr>
          <w:p>
            <w:r>
              <w:t>RCW 18.27.010(1),(5),(12)；PDF第2–4页</w:t>
            </w:r>
          </w:p>
        </w:tc>
        <w:tc>
          <w:tcPr>
            <w:tcW w:type="dxa" w:w="2436"/>
          </w:tcPr>
          <w:p>
            <w:r>
              <w:t>条件：从事定义内承包活动；一般承包商使用多于一个工种，专业承包商不属于一般承包商。</w:t>
              <w:br/>
              <w:t>规则：第18.27章要求先确认行为和一般/专业分类。</w:t>
            </w:r>
          </w:p>
        </w:tc>
        <w:tc>
          <w:tcPr>
            <w:tcW w:type="dxa" w:w="2436"/>
          </w:tcPr>
          <w:p>
            <w:r>
              <w:t>可证明：CC记录可结合specialty字段作筛查分类。</w:t>
              <w:br/>
              <w:t>不能证明：不能证明实际业务行为、项目事实或豁免；EC、PC、LC的专门许可要求不在本PDF内。</w:t>
            </w:r>
          </w:p>
        </w:tc>
      </w:tr>
      <w:tr>
        <w:tc>
          <w:tcPr>
            <w:tcW w:type="dxa" w:w="2436"/>
          </w:tcPr>
          <w:p>
            <w:r>
              <w:t>登记义务与禁止行为</w:t>
            </w:r>
          </w:p>
        </w:tc>
        <w:tc>
          <w:tcPr>
            <w:tcW w:type="dxa" w:w="2436"/>
          </w:tcPr>
          <w:p>
            <w:r>
              <w:t>RCW 18.27.020(1)–(3)；PDF第4–5页</w:t>
            </w:r>
          </w:p>
        </w:tc>
        <w:tc>
          <w:tcPr>
            <w:tcW w:type="dxa" w:w="2436"/>
          </w:tcPr>
          <w:p>
            <w:r>
              <w:t>条件：属于本章承包商且无适用例外。</w:t>
              <w:br/>
              <w:t>规则：承包商应登记；未登记、暂停或撤销期间的特定行为受禁止；(3)另设书面通知相关限制。</w:t>
            </w:r>
          </w:p>
        </w:tc>
        <w:tc>
          <w:tcPr>
            <w:tcW w:type="dxa" w:w="2436"/>
          </w:tcPr>
          <w:p>
            <w:r>
              <w:t>可证明：证明登记表快照状态。</w:t>
              <w:br/>
              <w:t>不能证明：不能证明曾承揽、投标、广告、分包，或任何人收到书面通知。</w:t>
            </w:r>
          </w:p>
        </w:tc>
      </w:tr>
      <w:tr>
        <w:tc>
          <w:tcPr>
            <w:tcW w:type="dxa" w:w="2436"/>
          </w:tcPr>
          <w:p>
            <w:r>
              <w:t>申请资料与UBI</w:t>
            </w:r>
          </w:p>
        </w:tc>
        <w:tc>
          <w:tcPr>
            <w:tcW w:type="dxa" w:w="2436"/>
          </w:tcPr>
          <w:p>
            <w:r>
              <w:t>RCW 18.27.030(1)(b),(f), (3)；PDF第5–7页</w:t>
            </w:r>
          </w:p>
        </w:tc>
        <w:tc>
          <w:tcPr>
            <w:tcW w:type="dxa" w:w="2436"/>
          </w:tcPr>
          <w:p>
            <w:r>
              <w:t>条件：申请或维持第18.27章登记。</w:t>
              <w:br/>
              <w:t>规则：申请含UBI与一般/专业类型；若干事项可导致拒绝或暂停。</w:t>
            </w:r>
          </w:p>
        </w:tc>
        <w:tc>
          <w:tcPr>
            <w:tcW w:type="dxa" w:w="2436"/>
          </w:tcPr>
          <w:p>
            <w:r>
              <w:t>可证明：比较CSV中的执照号、UBI和类型字段。</w:t>
              <w:br/>
              <w:t>不能证明：不能证明DOR状态、判决、申请真实性或机关实际决定。</w:t>
            </w:r>
          </w:p>
        </w:tc>
      </w:tr>
      <w:tr>
        <w:tc>
          <w:tcPr>
            <w:tcW w:type="dxa" w:w="2436"/>
          </w:tcPr>
          <w:p>
            <w:r>
              <w:t>保证金/替代担保与金额</w:t>
            </w:r>
          </w:p>
        </w:tc>
        <w:tc>
          <w:tcPr>
            <w:tcW w:type="dxa" w:w="2436"/>
          </w:tcPr>
          <w:p>
            <w:r>
              <w:t>RCW 18.27.040(1),(2),(4),(7),(8),(11)；PDF第7–10页</w:t>
            </w:r>
          </w:p>
        </w:tc>
        <w:tc>
          <w:tcPr>
            <w:tcW w:type="dxa" w:w="2436"/>
          </w:tcPr>
          <w:p>
            <w:r>
              <w:t>条件：第18.27章申请人；一般承包商通常30,000美元，专业承包商通常15,000美元；可用指定储蓄账户替代；特定续期可提高。</w:t>
              <w:br/>
              <w:t>规则：取消、撤销、担保退出或减损可影响登记；续保不累加责任。</w:t>
            </w:r>
          </w:p>
        </w:tc>
        <w:tc>
          <w:tcPr>
            <w:tcW w:type="dxa" w:w="2436"/>
          </w:tcPr>
          <w:p>
            <w:r>
              <w:t>可证明：逐行判断CSV保证金记录日期与单笔金额是否达到通常门槛。</w:t>
              <w:br/>
              <w:t>不能证明：不能证明替代账户、机关批准、未决/已付索赔、法院判决、提高金额命令或完整历史；不得叠加历史金额。</w:t>
            </w:r>
          </w:p>
        </w:tc>
      </w:tr>
      <w:tr>
        <w:tc>
          <w:tcPr>
            <w:tcW w:type="dxa" w:w="2436"/>
          </w:tcPr>
          <w:p>
            <w:r>
              <w:t>保险/替代财务责任</w:t>
            </w:r>
          </w:p>
        </w:tc>
        <w:tc>
          <w:tcPr>
            <w:tcW w:type="dxa" w:w="2436"/>
          </w:tcPr>
          <w:p>
            <w:r>
              <w:t>RCW 18.27.050(1)–(3)；PDF第10–11页</w:t>
            </w:r>
          </w:p>
        </w:tc>
        <w:tc>
          <w:tcPr>
            <w:tcW w:type="dxa" w:w="2436"/>
          </w:tcPr>
          <w:p>
            <w:r>
              <w:t>条件：第18.27章登记或再登记；财产损害50,000美元、单人伤亡100,000美元、多人伤亡200,000美元，或合格指定账户。</w:t>
              <w:br/>
              <w:t>规则：到期、取消、撤销或保险人退出可自动暂停，直至新保单/恢复通知提交并获批。</w:t>
            </w:r>
          </w:p>
        </w:tc>
        <w:tc>
          <w:tcPr>
            <w:tcW w:type="dxa" w:w="2436"/>
          </w:tcPr>
          <w:p>
            <w:r>
              <w:t>可证明：判断保险来源行的日期支持和总额字段。</w:t>
              <w:br/>
              <w:t>不能证明：单一insuranceamt不能证明法定分项、除外责任、保单类型、指定账户、提交或批准。</w:t>
            </w:r>
          </w:p>
        </w:tc>
      </w:tr>
      <w:tr>
        <w:tc>
          <w:tcPr>
            <w:tcW w:type="dxa" w:w="2436"/>
          </w:tcPr>
          <w:p>
            <w:r>
              <w:t>取消/减损与登记后果</w:t>
            </w:r>
          </w:p>
        </w:tc>
        <w:tc>
          <w:tcPr>
            <w:tcW w:type="dxa" w:w="2436"/>
          </w:tcPr>
          <w:p>
            <w:r>
              <w:t>RCW 18.27.040(1),(7); 18.27.050(2); 18.27.060(3)；PDF第7、9、10–11页</w:t>
            </w:r>
          </w:p>
        </w:tc>
        <w:tc>
          <w:tcPr>
            <w:tcW w:type="dxa" w:w="2436"/>
          </w:tcPr>
          <w:p>
            <w:r>
              <w:t>条件：保证金取消、撤销、退出或被未清偿判决减损，或保险取消/到期等法定事件。</w:t>
              <w:br/>
              <w:t>规则：条文规定自动暂停及恢复所需的新保障或恢复通知；18.27.060(3)以减损/取消生效日为暂停日。</w:t>
            </w:r>
          </w:p>
        </w:tc>
        <w:tc>
          <w:tcPr>
            <w:tcW w:type="dxa" w:w="2436"/>
          </w:tcPr>
          <w:p>
            <w:r>
              <w:t>可证明：标出CSV中的取消、到期、减损日期及登记状态不一致。</w:t>
              <w:br/>
              <w:t>不能证明：本筛查日期边界不是小时级法定裁定；不能证明通知、提交、批准或机关系统的完整状态。</w:t>
            </w:r>
          </w:p>
        </w:tc>
      </w:tr>
      <w:tr>
        <w:tc>
          <w:tcPr>
            <w:tcW w:type="dxa" w:w="2436"/>
          </w:tcPr>
          <w:p>
            <w:r>
              <w:t>登记期限与续期</w:t>
            </w:r>
          </w:p>
        </w:tc>
        <w:tc>
          <w:tcPr>
            <w:tcW w:type="dxa" w:w="2436"/>
          </w:tcPr>
          <w:p>
            <w:r>
              <w:t>RCW 18.27.060(1),(4)；PDF第11页</w:t>
            </w:r>
          </w:p>
        </w:tc>
        <w:tc>
          <w:tcPr>
            <w:tcW w:type="dxa" w:w="2436"/>
          </w:tcPr>
          <w:p>
            <w:r>
              <w:t>条件：第18.27章登记证及续期。</w:t>
              <w:br/>
              <w:t>规则：证书通常两年；按期续期；特定可追踪投递下，机关收到费用和保证金、责任保险证明之日生效。</w:t>
            </w:r>
          </w:p>
        </w:tc>
        <w:tc>
          <w:tcPr>
            <w:tcW w:type="dxa" w:w="2436"/>
          </w:tcPr>
          <w:p>
            <w:r>
              <w:t>可证明：显示登记表到期日及快照状态。</w:t>
              <w:br/>
              <w:t>不能证明：不能证明续期材料送达、费用、投递凭证或机关批准。</w:t>
            </w:r>
          </w:p>
        </w:tc>
      </w:tr>
      <w:tr>
        <w:tc>
          <w:tcPr>
            <w:tcW w:type="dxa" w:w="2436"/>
          </w:tcPr>
          <w:p>
            <w:r>
              <w:t>30天届满定义例外</w:t>
            </w:r>
          </w:p>
        </w:tc>
        <w:tc>
          <w:tcPr>
            <w:tcW w:type="dxa" w:w="2436"/>
          </w:tcPr>
          <w:p>
            <w:r>
              <w:t>RCW 18.27.010(15)；PDF第3–4页</w:t>
            </w:r>
          </w:p>
        </w:tc>
        <w:tc>
          <w:tcPr>
            <w:tcW w:type="dxa" w:w="2436"/>
          </w:tcPr>
          <w:p>
            <w:r>
              <w:t>条件：登记届满不超过30日，且始终维持有效保证金以及18.27.050所需保险或指定账户。</w:t>
              <w:br/>
              <w:t>规则：满足全部条件者不纳入该款“未登记承包商”定义。</w:t>
            </w:r>
          </w:p>
        </w:tc>
        <w:tc>
          <w:tcPr>
            <w:tcW w:type="dxa" w:w="2436"/>
          </w:tcPr>
          <w:p>
            <w:r>
              <w:t>可证明：筛出登记到期日在30日附近的记录，并检查包内是否有日期可支持的保障行。</w:t>
              <w:br/>
              <w:t>不能证明：EXPIRED一列既不能单独排除也不能单独放行；CSV缺行不等于无保障，且不能证明“始终”、替代账户或实际活动。</w:t>
            </w:r>
          </w:p>
        </w:tc>
      </w:tr>
      <w:tr>
        <w:tc>
          <w:tcPr>
            <w:tcW w:type="dxa" w:w="2436"/>
          </w:tcPr>
          <w:p>
            <w:r>
              <w:t>登记核验</w:t>
            </w:r>
          </w:p>
        </w:tc>
        <w:tc>
          <w:tcPr>
            <w:tcW w:type="dxa" w:w="2436"/>
          </w:tcPr>
          <w:p>
            <w:r>
              <w:t>RCW 18.27.010(17); 18.27.110(1)；PDF第4、17页</w:t>
            </w:r>
          </w:p>
        </w:tc>
        <w:tc>
          <w:tcPr>
            <w:tcW w:type="dxa" w:w="2436"/>
          </w:tcPr>
          <w:p>
            <w:r>
              <w:t>条件：地方机关对依法需登记承包商的建筑许可核验。</w:t>
              <w:br/>
              <w:t>规则：核验可查登记卡、部门数据库或联系部门；发证前应核验当前登记。</w:t>
            </w:r>
          </w:p>
        </w:tc>
        <w:tc>
          <w:tcPr>
            <w:tcW w:type="dxa" w:w="2436"/>
          </w:tcPr>
          <w:p>
            <w:r>
              <w:t>可证明：作为下载快照触发进一步官方核验。</w:t>
              <w:br/>
              <w:t>不能证明：离线快照不等于2026-10-12或之后的实时机关核验。</w:t>
            </w:r>
          </w:p>
        </w:tc>
      </w:tr>
      <w:tr>
        <w:tc>
          <w:tcPr>
            <w:tcW w:type="dxa" w:w="2436"/>
          </w:tcPr>
          <w:p>
            <w:r>
              <w:t>登记例外</w:t>
            </w:r>
          </w:p>
        </w:tc>
        <w:tc>
          <w:tcPr>
            <w:tcW w:type="dxa" w:w="2436"/>
          </w:tcPr>
          <w:p>
            <w:r>
              <w:t>RCW 18.27.065; 18.27.090(1)–(17)；PDF第12–14页</w:t>
            </w:r>
          </w:p>
        </w:tc>
        <w:tc>
          <w:tcPr>
            <w:tcW w:type="dxa" w:w="2436"/>
          </w:tcPr>
          <w:p>
            <w:r>
              <w:t>条件：合伙/合资特定情形或列举豁免事实成立。</w:t>
              <w:br/>
              <w:t>规则：条文列出登记推定和多类豁免，部分附活动范围及反规避限制。</w:t>
            </w:r>
          </w:p>
        </w:tc>
        <w:tc>
          <w:tcPr>
            <w:tcW w:type="dxa" w:w="2436"/>
          </w:tcPr>
          <w:p>
            <w:r>
              <w:t>可证明：显示登记表business type与专业字段，仅供提示。</w:t>
              <w:br/>
              <w:t>不能证明：不能据字段推定合伙人名称条件、项目金额、产权、雇佣、广告或其他豁免事实。</w:t>
            </w:r>
          </w:p>
        </w:tc>
      </w:tr>
      <w:tr>
        <w:tc>
          <w:tcPr>
            <w:tcW w:type="dxa" w:w="2436"/>
          </w:tcPr>
          <w:p>
            <w:r>
              <w:t>诉讼中的持续保障</w:t>
            </w:r>
          </w:p>
        </w:tc>
        <w:tc>
          <w:tcPr>
            <w:tcW w:type="dxa" w:w="2436"/>
          </w:tcPr>
          <w:p>
            <w:r>
              <w:t>RCW 18.27.080；PDF第12–13页</w:t>
            </w:r>
          </w:p>
        </w:tc>
        <w:tc>
          <w:tcPr>
            <w:tcW w:type="dxa" w:w="2436"/>
          </w:tcPr>
          <w:p>
            <w:r>
              <w:t>条件：承包商在州法院追索需登记工作的报酬/违约。</w:t>
              <w:br/>
              <w:t>规则：条文对诉权及实质合规设定持续资料、保证金和保险条件。</w:t>
            </w:r>
          </w:p>
        </w:tc>
        <w:tc>
          <w:tcPr>
            <w:tcW w:type="dxa" w:w="2436"/>
          </w:tcPr>
          <w:p>
            <w:r>
              <w:t>可证明：提示历史保障连续性可能重要。</w:t>
              <w:br/>
              <w:t>不能证明：不能证明合同、工程、诉讼、相关期间或法院结论。</w:t>
            </w:r>
          </w:p>
        </w:tc>
      </w:tr>
    </w:tbl>
    <w:p>
      <w:pPr>
        <w:pStyle w:val="Heading1"/>
        <w:spacing w:before="160" w:after="80"/>
      </w:pPr>
      <w:r>
        <w:t>四、范围判断与30天届满例外</w:t>
      </w:r>
    </w:p>
    <w:p>
      <w:r>
        <w:t>登记类型包括CC、EC、PC、LC。第18.27章原件定义承包商并区分一般与专业承包商，但本包不含电气、管道、电梯专门许可章节。因此仅对CC作18.27直接筛查；EC、PC、LC保留记录层日期结果，却不机械套用30,000/15,000美元或保险分项门槛。</w:t>
      </w:r>
    </w:p>
    <w:p>
      <w:r>
        <w:t>RCW 18.27.010(15)（PDF第3–4页）把通常属于“未登记承包商”的届满记录排除在定义之外，须同时满足：届满不超过30日、一直维持有效保证金、并一直维持18.27.050要求的保险或指定账户。故“EXPIRED”状态不能机械排除，也不能机械放行。包内共有11项CC记录按登记到期日推算在基准日前0至30日内；CSV缺少保障行只能说本包不能证明条件，不能证明实际无保障，更不能证明曾承揽工程或适用豁免。应向L&amp;I实时核验到期起至核验日的连续保障、替代账户及续期收件/批准。</w:t>
      </w:r>
    </w:p>
    <w:p>
      <w:pPr>
        <w:pStyle w:val="Heading1"/>
        <w:spacing w:before="160" w:after="80"/>
      </w:pPr>
      <w:r>
        <w:t>五、优先核验名单</w:t>
      </w:r>
    </w:p>
    <w:p>
      <w:pPr>
        <w:pStyle w:val="Heading2"/>
        <w:spacing w:before="160" w:after="80"/>
      </w:pPr>
      <w:r>
        <w:t>（一）ACTIVE且保证金、保险均无可确认有效记录</w:t>
      </w:r>
    </w:p>
    <w:p>
      <w:r>
        <w:t>以下均属RCW 18.27适用未确认的EC/LC，仅作资料核验，不作不合规判断：</w:t>
      </w:r>
    </w:p>
    <w:p>
      <w:pPr>
        <w:pStyle w:val="ListBullet"/>
      </w:pPr>
      <w:r>
        <w:t>BRANDSS747BN｜BRAND SAFWAY SERVICES LLC｜UBI 601577044｜LC。登记来源行230为ACTIVE；保证金、保险表均无该执照来源行。待补：相应专门许可制度、实时状态、所需保障及接口覆盖范围。下一步：按完整执照号向L&amp;I核验，不借用同UBI其他执照记录。</w:t>
      </w:r>
    </w:p>
    <w:p>
      <w:pPr>
        <w:pStyle w:val="ListBullet"/>
      </w:pPr>
      <w:r>
        <w:t>BRIANEI984B5｜BRIANS ELECTRIC INC｜UBI 602168205｜EC。登记来源行557为ACTIVE；保证金、保险表均无该执照来源行。待补：相应专门许可制度、实时状态、所需保障及接口覆盖范围。下一步：按完整执照号向L&amp;I核验，不借用同UBI其他执照记录。</w:t>
      </w:r>
    </w:p>
    <w:p>
      <w:pPr>
        <w:pStyle w:val="ListBullet"/>
      </w:pPr>
      <w:r>
        <w:t>BRIGHEL761QG｜Brightway Electric LLC｜UBI 605511918｜EC。登记来源行759为ACTIVE；保证金、保险表均无该执照来源行。待补：相应专门许可制度、实时状态、所需保障及接口覆盖范围。下一步：按完整执照号向L&amp;I核验，不借用同UBI其他执照记录。</w:t>
      </w:r>
    </w:p>
    <w:p>
      <w:pPr>
        <w:pStyle w:val="ListBullet"/>
      </w:pPr>
      <w:r>
        <w:t>BRISBEC522JK｜BRISBINE ELECTRIC CO INC｜UBI 600259867｜EC。登记来源行858为ACTIVE；保证金、保险表均无该执照来源行。待补：相应专门许可制度、实时状态、所需保障及接口覆盖范围。下一步：按完整执照号向L&amp;I核验，不借用同UBI其他执照记录。</w:t>
      </w:r>
    </w:p>
    <w:p>
      <w:pPr>
        <w:pStyle w:val="ListBullet"/>
      </w:pPr>
      <w:r>
        <w:t>BRUMMES749DU｜BRUMMOND ELEC SRV &amp; TECH LLC｜UBI 606125072｜EC。登记来源行1434为ACTIVE；保证金、保险表均无该执照来源行。待补：相应专门许可制度、实时状态、所需保障及接口覆盖范围。下一步：按完整执照号向L&amp;I核验，不借用同UBI其他执照记录。</w:t>
      </w:r>
    </w:p>
    <w:p>
      <w:r>
        <w:t>完整6项见audit.xlsx“待核验与续期”。</w:t>
      </w:r>
    </w:p>
    <w:p>
      <w:pPr>
        <w:pStyle w:val="Heading2"/>
        <w:spacing w:before="160" w:after="80"/>
      </w:pPr>
      <w:r>
        <w:t>（二）未来30日保障记录失效且无包内无缝后继</w:t>
      </w:r>
    </w:p>
    <w:p>
      <w:pPr>
        <w:pStyle w:val="ListBullet"/>
      </w:pPr>
      <w:r>
        <w:t>BRAADGC778LK｜BRAADA GENERAL CONST LLC｜UBI 605239652｜保险缺口2026-10-27至2026-11-11，触发行2。条文范围：RCW 18.27直接筛查（仍须核验活动与豁免）；关联RCW 18.27.050(2)、18.27.060(3)仅在18.27适用且法定事实成立时适用。待补：续保/替换记录、提交与批准凭证、实时登记状态。</w:t>
      </w:r>
    </w:p>
    <w:p>
      <w:pPr>
        <w:pStyle w:val="ListBullet"/>
      </w:pPr>
      <w:r>
        <w:t>BRAATC*889QF｜Braaten Carpentry｜UBI 603251225｜保险缺口2026-11-02至2026-11-11，触发行3。条文范围：RCW 18.27直接筛查（仍须核验活动与豁免）；关联RCW 18.27.050(2)、18.27.060(3)仅在18.27适用且法定事实成立时适用。待补：续保/替换记录、提交与批准凭证、实时登记状态。</w:t>
      </w:r>
    </w:p>
    <w:p>
      <w:pPr>
        <w:pStyle w:val="ListBullet"/>
      </w:pPr>
      <w:r>
        <w:t>BRAATCL786QN｜BRAATEN CONSTRUCTION LLC｜UBI 604981726｜保险缺口2026-11-04至2026-11-11，触发行4。条文范围：RCW 18.27直接筛查（仍须核验活动与豁免）；关联RCW 18.27.050(2)、18.27.060(3)仅在18.27适用且法定事实成立时适用。待补：续保/替换记录、提交与批准凭证、实时登记状态。</w:t>
      </w:r>
    </w:p>
    <w:p>
      <w:pPr>
        <w:pStyle w:val="ListBullet"/>
      </w:pPr>
      <w:r>
        <w:t>BRACEPC974QM｜BRACE POINT CARPENTRY LLC｜UBI 602320615｜保险缺口2026-11-04至2026-11-11，触发行6。条文范围：RCW 18.27直接筛查（仍须核验活动与豁免）；关联RCW 18.27.050(2)、18.27.060(3)仅在18.27适用且法定事实成立时适用。待补：续保/替换记录、提交与批准凭证、实时登记状态。</w:t>
      </w:r>
    </w:p>
    <w:p>
      <w:pPr>
        <w:pStyle w:val="ListBullet"/>
      </w:pPr>
      <w:r>
        <w:t>BRANDCL801P1｜BRANDARIS CONSTRUCTION LLC｜UBI 604543787｜保险缺口2026-11-01至2026-11-11，触发行77。条文范围：RCW 18.27直接筛查（仍须核验活动与豁免）；关联RCW 18.27.050(2)、18.27.060(3)仅在18.27适用且法定事实成立时适用。待补：续保/替换记录、提交与批准凭证、实时登记状态。</w:t>
      </w:r>
    </w:p>
    <w:p>
      <w:r>
        <w:t>完整30项及全部来源行、日期、金额见audit.xlsx“待核验与续期”。</w:t>
      </w:r>
    </w:p>
    <w:p>
      <w:pPr>
        <w:pStyle w:val="Heading1"/>
        <w:spacing w:before="160" w:after="80"/>
      </w:pPr>
      <w:r>
        <w:t>六、完整案例（每类最多5项）</w:t>
      </w:r>
    </w:p>
    <w:p>
      <w:pPr>
        <w:pStyle w:val="Heading2"/>
        <w:spacing w:before="160" w:after="80"/>
      </w:pPr>
      <w:r>
        <w:t>（一）历史记录不能当作当前保障</w:t>
      </w:r>
    </w:p>
    <w:p>
      <w:pPr>
        <w:pStyle w:val="ListBullet"/>
      </w:pPr>
      <w:r>
        <w:t>BRIGHHI063D3（BRIGHTEN HOMES INC，登记行767，UBI 601529129）：行827: 生效2025-03-18T00:00:00.000; 到期Until Canceled; 取消空; 减损空; 金额30000.0000 | 行828: 生效2002-03-18T00:00:00.000; 到期05/05/2026; 取消空; 减损空; 金额12000.0000；行358: 生效2025-10-12T00:00:00.000; 到期2026-10-12T00:00:00.000; 取消空; 金额1000000.0000。历史/缺失行不能替代2026-10-12有效证明；适用范围为RCW 18.27直接筛查（仍须核验活动与豁免）。</w:t>
      </w:r>
    </w:p>
    <w:p>
      <w:pPr>
        <w:pStyle w:val="ListBullet"/>
      </w:pPr>
      <w:r>
        <w:t>BRIANEI984B5（BRIANS ELECTRIC INC，登记行557，UBI 602168205）：无来源行；无来源行。历史/缺失行不能替代2026-10-12有效证明；适用范围为本包未确认适用；转相应专门许可制度核验。</w:t>
      </w:r>
    </w:p>
    <w:p>
      <w:pPr>
        <w:pStyle w:val="ListBullet"/>
      </w:pPr>
      <w:r>
        <w:t>BRISTEL757JZ（BRISTOL ENVIRONMENTAL LLC，登记行876，UBI 602449576）：行956: 生效2025-01-01T00:00:00.000; 到期Until Canceled; 取消空; 减损空; 金额30000.0000；无来源行。历史/缺失行不能替代2026-10-12有效证明；适用范围为RCW 18.27直接筛查（仍须核验活动与豁免）。</w:t>
      </w:r>
    </w:p>
    <w:p>
      <w:pPr>
        <w:pStyle w:val="Heading2"/>
        <w:spacing w:before="160" w:after="80"/>
      </w:pPr>
      <w:r>
        <w:t>（二）未来记录不能提前生效</w:t>
      </w:r>
    </w:p>
    <w:p>
      <w:pPr>
        <w:pStyle w:val="ListBullet"/>
      </w:pPr>
      <w:r>
        <w:t>BRUCELG123BK（BRUCE LEONE GENERAL CONTRACTOR，UBI 600336600）保证金行1550生效日2026-10-15T00:00:00.000，在2026-10-12尚未生效，不能提前计入；该执照另有当前来源行时须分别判断，不能因未来行倒推当前有效。</w:t>
      </w:r>
    </w:p>
    <w:p>
      <w:pPr>
        <w:pStyle w:val="Heading2"/>
        <w:spacing w:before="160" w:after="80"/>
      </w:pPr>
      <w:r>
        <w:t>（三）登记状态与保障证据不一致</w:t>
      </w:r>
    </w:p>
    <w:p>
      <w:pPr>
        <w:pStyle w:val="ListBullet"/>
      </w:pPr>
      <w:r>
        <w:t>BRAVOEN911P9（BRAVO ENVIRONMENTAL NW INC，登记行312，UBI 602946216）登记为ACTIVE，但保障证据为：登记为ACTIVE，但保证金无可确认有效记录；仅表示证据不足。来源：保证金无来源行；保险行140: 生效2026-01-27T00:00:00.000; 到期2027-01-27T00:00:00.000; 取消空; 金额1000000.0000。应补实时状态、替代形式及提交/批准资料，不据此认定违法。</w:t>
      </w:r>
    </w:p>
    <w:p>
      <w:pPr>
        <w:pStyle w:val="ListBullet"/>
      </w:pPr>
      <w:r>
        <w:t>BRENTAC938BB（BRENT &amp; ADENA IN CHRIST，登记行463，UBI 601322304）登记为ACTIVE，但保障证据为：登记为ACTIVE，但保险无可确认有效记录；仅表示证据不足。来源：保证金行503: 生效2025-03-31T00:00:00.000; 到期Until Canceled; 取消空; 减损空; 金额30000.0000 | 行504: 生效2024-07-01T00:00:00.000; 到期空; 取消2025-02-13T00:00:00.000; 减损空; 金额15000.0000 | 行505: 生效2015-01-01T00:00:00.000; 到期10/30/2024; 取消空; 减损空; 金额6000.0000；保险行210: 生效2018-04-26T00:00:00.000; 到期空; 取消空; 金额1000000.0000。应补实时状态、替代形式及提交/批准资料，不据此认定违法。</w:t>
      </w:r>
    </w:p>
    <w:p>
      <w:pPr>
        <w:pStyle w:val="ListBullet"/>
      </w:pPr>
      <w:r>
        <w:t>BRIGHHI063D3（BRIGHTEN HOMES INC，登记行767，UBI 601529129）登记为ACTIVE，但保障证据为：登记为ACTIVE，但保险无可确认有效记录；仅表示证据不足。来源：保证金行827: 生效2025-03-18T00:00:00.000; 到期Until Canceled; 取消空; 减损空; 金额30000.0000 | 行828: 生效2002-03-18T00:00:00.000; 到期05/05/2026; 取消空; 减损空; 金额12000.0000；保险行358: 生效2025-10-12T00:00:00.000; 到期2026-10-12T00:00:00.000; 取消空; 金额1000000.0000。应补实时状态、替代形式及提交/批准资料，不据此认定违法。</w:t>
      </w:r>
    </w:p>
    <w:p>
      <w:pPr>
        <w:pStyle w:val="ListBullet"/>
      </w:pPr>
      <w:r>
        <w:t>BRISTEL757JZ（BRISTOL ENVIRONMENTAL LLC，登记行876，UBI 602449576）登记为ACTIVE，但保障证据为：登记为ACTIVE，但保险无可确认有效记录；仅表示证据不足。来源：保证金行956: 生效2025-01-01T00:00:00.000; 到期Until Canceled; 取消空; 减损空; 金额30000.0000；保险无来源行。应补实时状态、替代形式及提交/批准资料，不据此认定违法。</w:t>
      </w:r>
    </w:p>
    <w:p>
      <w:pPr>
        <w:pStyle w:val="ListBullet"/>
      </w:pPr>
      <w:r>
        <w:t>BROOKDI973PO（BROOKSTONE DEVELOPMENT INC，登记行1058，UBI 602257973）登记为ACTIVE，但保障证据为：登记为ACTIVE，但保证金无可确认有效记录；仅表示证据不足。来源：保证金无来源行；保险行490: 生效2026-10-06T00:00:00.000; 到期2027-10-06T00:00:00.000; 取消空; 金额2000000.0000 | 行491: 生效2025-10-06T00:00:00.000; 到期2027-10-06T00:00:00.000; 取消空; 金额2000000.0000。应补实时状态、替代形式及提交/批准资料，不据此认定违法。</w:t>
      </w:r>
    </w:p>
    <w:p>
      <w:pPr>
        <w:pStyle w:val="Heading1"/>
        <w:spacing w:before="160" w:after="80"/>
      </w:pPr>
      <w:r>
        <w:t>七、建议的核验顺序</w:t>
      </w:r>
    </w:p>
    <w:p>
      <w:pPr>
        <w:pStyle w:val="ListBullet"/>
      </w:pPr>
      <w:r>
        <w:t>第一优先：ACTIVE的CC单边缺口和30日内将出现缺口的CC；向L&amp;I按完整执照号核实实时登记、保障连续性、替代指定账户、恢复/后继文件的提交与批准。</w:t>
      </w:r>
    </w:p>
    <w:p>
      <w:pPr>
        <w:pStyle w:val="ListBullet"/>
      </w:pPr>
      <w:r>
        <w:t>第二优先：ACTIVE且双缺的EC/LC，以及PC记录；先确定适用专门章节、接口是否应返回保障，再核验，不套用第18.27章门槛。</w:t>
      </w:r>
    </w:p>
    <w:p>
      <w:pPr>
        <w:pStyle w:val="ListBullet"/>
      </w:pPr>
      <w:r>
        <w:t>第三优先：状态为EXPIRED且可能落入30日定义例外的CC；核验整个届满期间的连续保障，而非只看两个端点。</w:t>
      </w:r>
    </w:p>
    <w:p>
      <w:pPr>
        <w:pStyle w:val="ListBullet"/>
      </w:pPr>
      <w:r>
        <w:t>数据治理：对重复/冲突保障行要求L&amp;I确认权威记录；保持源行，不静默合并。任何缺记录均记录为“证据不足”，不得改写成“没有投保/没有保证金”。</w:t>
      </w:r>
    </w:p>
    <w:p>
      <w:r>
        <w:br w:type="page"/>
      </w:r>
    </w:p>
    <w:p>
      <w:pPr>
        <w:pStyle w:val="Heading1"/>
        <w:spacing w:before="160" w:after="80"/>
      </w:pPr>
      <w:r>
        <w:t>附件A：不发送的核验函草稿一（保证金记录缺口）</w:t>
      </w:r>
    </w:p>
    <w:p>
      <w:r>
        <w:t>状态：草稿—不发送</w:t>
      </w:r>
    </w:p>
    <w:p>
      <w:r>
        <w:t>收件人：Washington State Department of Labor &amp; Industries 承包商登记资料核验窗口</w:t>
      </w:r>
    </w:p>
    <w:p>
      <w:r>
        <w:t>主题：请求核验 BRAVOEN911P9 的保证金/替代担保与登记资料</w:t>
      </w:r>
    </w:p>
    <w:p>
      <w:r>
        <w:t>敬启者：</w:t>
      </w:r>
    </w:p>
    <w:p>
      <w:r>
        <w:t>本团队在承包商准入资料审查中，查阅了下载的公开接口快照。登记表来源行312显示BRAVO ENVIRONMENTAL NW INC，执照号BRAVOEN911P9，UBI 602946216，状态为ACTIVE；保险表来源行140存在日期可支持记录，但保证金表未检出该完整执照号记录。</w:t>
      </w:r>
    </w:p>
    <w:p>
      <w:r>
        <w:t>烦请按完整执照号核验截至2026-10-12的：(1) 实时登记状态；(2) 是否存在有效保证金或RCW 18.27.040(8)所述替代指定储蓄账户；(3) 如有，生效、终止、减损、提交和批准日期及金额；(4) 公开接口是否省略某类替代担保。我们不请求对企业作违法认定，仅为纠正证据缺口。</w:t>
      </w:r>
    </w:p>
    <w:p>
      <w:r>
        <w:t>谨致</w:t>
      </w:r>
    </w:p>
    <w:p>
      <w:r>
        <w:t>承包商准入审查团队</w:t>
      </w:r>
    </w:p>
    <w:p>
      <w:r>
        <w:br w:type="page"/>
      </w:r>
    </w:p>
    <w:p>
      <w:pPr>
        <w:pStyle w:val="Heading1"/>
        <w:spacing w:before="160" w:after="80"/>
      </w:pPr>
      <w:r>
        <w:t>附件B：不发送的核验函草稿二（保险到期边界）</w:t>
      </w:r>
    </w:p>
    <w:p>
      <w:r>
        <w:t>状态：草稿—不发送</w:t>
      </w:r>
    </w:p>
    <w:p>
      <w:r>
        <w:t>收件人：Washington State Department of Labor &amp; Industries 承包商登记资料核验窗口</w:t>
      </w:r>
    </w:p>
    <w:p>
      <w:r>
        <w:t>主题：请求核验 BRIGHHI063D3 的保险连续性与登记状态</w:t>
      </w:r>
    </w:p>
    <w:p>
      <w:r>
        <w:t>敬启者：</w:t>
      </w:r>
    </w:p>
    <w:p>
      <w:r>
        <w:t>本团队在公开接口快照中看到：登记表来源行767显示BRIGHTEN HOMES INC，执照号BRIGHHI063D3，UBI 601529129，状态为ACTIVE；保险表来源行358的记录生效日为2025-10-12、到期日为2026-10-12、金额字段为1,000,000。按本次筛查口径，到期日当日起不再作为日期可支持记录；这不是对法定小时级终止时间或实际保险状态的裁定。</w:t>
      </w:r>
    </w:p>
    <w:p>
      <w:r>
        <w:t>烦请核验：(1) 2026-10-12当日及其后的实际保险连续性；(2) 是否有续保、替换保单或RCW 18.27.050(3)指定账户；(3) 相关证明提交及批准日期；(4) 截至核验日的登记状态。单一insuranceamt不能证明法定责任分项，因此如可公开，也请确认保障形式和法定分项是否已由机关审核。我们不请求认定任何违法或争议事实。</w:t>
      </w:r>
    </w:p>
    <w:p>
      <w:r>
        <w:t>谨致</w:t>
      </w:r>
    </w:p>
    <w:p>
      <w:r>
        <w:t>承包商准入审查团队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