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LAW 真实来源参考意见</w:t>
      </w:r>
    </w:p>
    <w:p>
      <w:pPr>
        <w:pStyle w:val="Heading1"/>
      </w:pPr>
      <w:r>
        <w:t>建议与结论</w:t>
      </w:r>
    </w:p>
    <w:p>
      <w:r>
        <w:t>将当前ACTIVE但两类保障均无可确认日期记录的7个执照交人工核验，将未来30天已记录保障存在后继缺口的28个执照交续期核对。它们是证据待补名单，不是违法名单。</w:t>
      </w:r>
    </w:p>
    <w:p>
      <w:r>
        <w:t>登记类型分布为{"CC": 1410, "EC": 101, "PC": 41, "LC": 1}。不能把建筑登记法的门槛机械套给其他专业类型；其实际工作及豁免适用仍需核实。</w:t>
      </w:r>
    </w:p>
    <w:p>
      <w:pPr>
        <w:pStyle w:val="Heading1"/>
      </w:pPr>
      <w:r>
        <w:t>法律依据</w:t>
      </w:r>
    </w:p>
    <w:p>
      <w:r>
        <w:t>RCW 18.27.010(1),(5),(12)，RCW_18.27.pdf第2-3页：建筑工作范围和身份是法律适用依据，不能把所有登记类型视作同一类别。</w:t>
      </w:r>
    </w:p>
    <w:p>
      <w:r>
        <w:t>RCW 18.27.010(15)，RCW_18.27.pdf第3-4页：尚须维持有效保证金及法定保险/替代账户；状态为EXPIRED本身不足以认定例外成立。</w:t>
      </w:r>
    </w:p>
    <w:p>
      <w:r>
        <w:t>RCW 18.27.040(1),(2)，RCW_18.27.pdf第7-8页：一般承包商30000美元、专业15000美元；2024调整有续期过渡，仍须核对登记历史和适用范围。</w:t>
      </w:r>
    </w:p>
    <w:p>
      <w:r>
        <w:t>RCW 18.27.040(7),(8)，RCW_18.27.pdf第9页：无满足全额的未减损担保可能触发暂停；法条允许指定储蓄账户，单一保证金CSV不足以排除替代安排。</w:t>
      </w:r>
    </w:p>
    <w:p>
      <w:r>
        <w:t>RCW 18.27.050(1)，RCW_18.27.pdf第10页：财产50000、单人伤害100000、多人伤害200000；单一insuranceamt不足以核验各项或保单形式。</w:t>
      </w:r>
    </w:p>
    <w:p>
      <w:r>
        <w:t>RCW 18.27.050(2),(3)，RCW_18.27.pdf第10-11页：届满/取消等有登记后果，但记录不全或已批准替代账户不能由本包推断不存在。</w:t>
      </w:r>
    </w:p>
    <w:p>
      <w:r>
        <w:t>RCW 18.27.090(14)，RCW_18.27.pdf第14页：特定电气/管道专业身份且在认证范围内有例外；当前登记类型不能替代具体工作事实。</w:t>
      </w:r>
    </w:p>
    <w:p>
      <w:r>
        <w:t>RCW 18.27.010(17)，RCW_18.27.pdf第4页：法条定义当前登记卡、数据库或向部门核验，下载快照不等于此后实时状态。</w:t>
      </w:r>
    </w:p>
    <w:p>
      <w:pPr>
        <w:pStyle w:val="Heading1"/>
      </w:pPr>
      <w:r>
        <w:t>真实记录案例</w:t>
      </w:r>
    </w:p>
    <w:p>
      <w:r>
        <w:t>BRAND SAFWAY SERVICES LLC，执照BRANDSS747BN、UBI 601577044，登记原始行230，表列状态ACTIVE；保证金行[]、保险行[]。核对逐保障记录表的生效、取消与后继日期，不能用当前状态重写历史记录。</w:t>
      </w:r>
    </w:p>
    <w:p>
      <w:r>
        <w:t>BRIANS ELECTRIC INC，执照BRIANEI984B5、UBI 602168205，登记原始行557，表列状态ACTIVE；保证金行[]、保险行[]。核对逐保障记录表的生效、取消与后继日期，不能用当前状态重写历史记录。</w:t>
      </w:r>
    </w:p>
    <w:p>
      <w:r>
        <w:t>BRICKED SOLUTIONS，执照BRICKS*792MA、UBI 604750327，登记原始行648，表列状态ACTIVE；保证金行[712]、保险行[]。核对逐保障记录表的生效、取消与后继日期，不能用当前状态重写历史记录。</w:t>
      </w:r>
    </w:p>
    <w:p>
      <w:r>
        <w:t>BRAADA GENERAL CONST LLC，执照BRAADGC778LK、UBI 605239652，登记原始行4，表列状态ACTIVE；保证金行[2, 3]、保险行[2]。核对逐保障记录表的生效、取消与后继日期，不能用当前状态重写历史记录。</w:t>
      </w:r>
    </w:p>
    <w:p>
      <w:r>
        <w:t>Braaten Carpentry，执照BRAATC*889QF、UBI 603251225，登记原始行6，表列状态ACTIVE；保证金行[4, 5]、保险行[3]。核对逐保障记录表的生效、取消与后继日期，不能用当前状态重写历史记录。</w:t>
      </w:r>
    </w:p>
    <w:p>
      <w:pPr>
        <w:pStyle w:val="Heading1"/>
      </w:pPr>
      <w:r>
        <w:t>事实和法律限制</w:t>
      </w:r>
    </w:p>
    <w:p>
      <w:r>
        <w:t>所有日期结论按题面筛查日界线计算，并非原始保单小时级法律终止裁定。单一保险金额不证明法定分项、无除外责任或覆盖范围，未见记录不能排除其他已批准财务责任安排。未取得合同、实际工作或通知事实，不认定终局法律责任。</w:t>
      </w:r>
    </w:p>
    <w:p>
      <w:pPr>
        <w:pStyle w:val="Heading1"/>
      </w:pPr>
      <w:r>
        <w:t>核验函草稿一</w:t>
      </w:r>
    </w:p>
    <w:p>
      <w:r>
        <w:t>致BRAND SAFWAY SERVICES LLC资料核验联系人（未发送）：就公开执照BRANDSS747BN（登记原始行230）开展资料核对。请提供评估日有效的保证金、保险或部门批准的替代财务责任资料及登记证明。当前快照未能确认两类日期支持，尚未认定贵企业未投保或违法。 此函不是行政处理或违法通知，资料补齐后再由专业人员核验适用范围。</w:t>
      </w:r>
    </w:p>
    <w:p>
      <w:pPr>
        <w:pStyle w:val="Heading1"/>
      </w:pPr>
      <w:r>
        <w:t>核验函草稿二</w:t>
      </w:r>
    </w:p>
    <w:p>
      <w:r>
        <w:t>致BRAADA GENERAL CONST LLC资料核验联系人（未发送）：就公开执照BRAADGC778LK（登记原始行4）开展资料核对。请核对未来30天内保障终止日期与后继生效资料，提供续期或替代保障证明，并说明期间是否存在已覆盖但尚未反映在下载记录中的安排。 此函不是行政处理或违法通知，资料补齐后再由专业人员核验适用范围。</w:t>
      </w:r>
    </w:p>
    <w:p>
      <w:pPr>
        <w:pStyle w:val="Heading1"/>
      </w:pPr>
      <w:r>
        <w:t>参考稿状态</w:t>
      </w:r>
    </w:p>
    <w:p>
      <w:r>
        <w:t>本稿与配套代码为作者参考解，待独立领域审核及正式判分；不声称Gold已验收。输入为保留原始字节的公开快照，来源记录在题包provenance中。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