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USDA Rural Development — Centralized Training</w:t>
        <w:br/>
        <w:t>Conference Site &amp; Budget Approval Brief</w:t>
      </w:r>
    </w:p>
    <w:p>
      <w:pPr>
        <w:jc w:val="center"/>
      </w:pPr>
      <w:r>
        <w:rPr>
          <w:i/>
          <w:sz w:val="18"/>
        </w:rPr>
        <w:t>Prepared by: Conference Coordinator, USDA Rural Development  |  Date of analysis: 2026-10-24  |  Training dates: Nov 29 – Dec 1, 2026</w:t>
      </w:r>
    </w:p>
    <w:p>
      <w:pPr>
        <w:spacing w:after="80" w:before="160"/>
      </w:pPr>
      <w:r>
        <w:rPr>
          <w:b/>
          <w:color w:val="1F4E78"/>
          <w:sz w:val="28"/>
        </w:rPr>
        <w:t>1. Recommendation</w:t>
      </w:r>
    </w:p>
    <w:p>
      <w:pPr>
        <w:spacing w:after="60"/>
      </w:pPr>
      <w:r>
        <w:rPr>
          <w:b/>
          <w:sz w:val="21"/>
        </w:rPr>
        <w:t>Recommended option: BOSTON, MA — 24 attendees.</w:t>
      </w:r>
    </w:p>
    <w:p>
      <w:pPr>
        <w:pStyle w:val="ListBullet"/>
        <w:spacing w:after="40"/>
      </w:pPr>
      <w:r>
        <w:t>Estimated grand total: $34,242.77 (base $32,612.16 + 5% contingency reserve $1,630.61) — $18,757 under the $53,000 ceiling.</w:t>
      </w:r>
    </w:p>
    <w:p>
      <w:pPr>
        <w:pStyle w:val="ListBullet"/>
        <w:spacing w:after="40"/>
      </w:pPr>
      <w:r>
        <w:t>Flights: DCA ⇄ BOS, American nonstop, ~$358 round trip (ITA Matrix, 2026-10-24).</w:t>
      </w:r>
    </w:p>
    <w:p>
      <w:pPr>
        <w:pStyle w:val="ListBullet"/>
        <w:spacing w:after="40"/>
      </w:pPr>
      <w:r>
        <w:t>Lodging: DoubleTree by Hilton Boston Bayside — $108/night, guest rating 8.6/10 (449 reviews, Trip.com 2026-10-24), breakfast included, free airport shuttle; 4 nights (Nov 28–Dec 2) at/below the FY2027 $213 Boston lodging cap on every night.</w:t>
      </w:r>
    </w:p>
    <w:p>
      <w:pPr>
        <w:pStyle w:val="ListBullet"/>
        <w:spacing w:after="40"/>
      </w:pPr>
      <w:r>
        <w:t>Why 24 (not 18): the ceiling is met with large margin, so the decision rule prioritizes the larger group; 24-person total is lowest among all cities that fit.</w:t>
      </w:r>
    </w:p>
    <w:p>
      <w:pPr>
        <w:spacing w:after="80" w:before="160"/>
      </w:pPr>
      <w:r>
        <w:rPr>
          <w:b/>
          <w:color w:val="1F4E78"/>
          <w:sz w:val="28"/>
        </w:rPr>
        <w:t>2. How the recommendation was chosen</w:t>
      </w:r>
    </w:p>
    <w:p>
      <w:pPr>
        <w:spacing w:after="60"/>
      </w:pPr>
      <w:r>
        <w:rPr>
          <w:b w:val="0"/>
          <w:sz w:val="21"/>
        </w:rPr>
        <w:t>Candidates: Chicago (ORD), Denver (DEN), Phoenix (PHX), Boston (BOS), Seattle (SEA). All five were priced with real flight quotes (ITA Matrix) and ≥2 real hotel quotes per city (Trip.com), screened for a quality standard (guest rating ≥8.0/10, ≥50 reviews, breakfast included/budgeted) and per-diem lodging-cap compliance (41 CFR 301-11.100 / 301-74.6).</w:t>
      </w:r>
    </w:p>
    <w:p>
      <w:pPr>
        <w:spacing w:after="60"/>
      </w:pPr>
      <w:r>
        <w:rPr>
          <w:b w:val="0"/>
          <w:sz w:val="21"/>
        </w:rPr>
        <w:t>Decision rule (applied in order): fit the $53,000 ceiling → maximize attendees → lowest total-with-reserve → alphabetical.</w:t>
      </w:r>
    </w:p>
    <w:p>
      <w:pPr>
        <w:spacing w:after="60"/>
      </w:pPr>
      <w:r>
        <w:rPr>
          <w:b w:val="0"/>
          <w:sz w:val="21"/>
        </w:rPr>
        <w:t>24-person totals (incl. 5% reserve):</w:t>
      </w:r>
    </w:p>
    <w:p>
      <w:pPr>
        <w:pStyle w:val="ListBullet"/>
        <w:spacing w:after="40"/>
      </w:pPr>
      <w:r>
        <w:t>Boston $34,242.77  ← recommended (lowest)</w:t>
      </w:r>
    </w:p>
    <w:p>
      <w:pPr>
        <w:pStyle w:val="ListBullet"/>
        <w:spacing w:after="40"/>
      </w:pPr>
      <w:r>
        <w:t>Chicago $39,528.72  ← nearest competitive alternative</w:t>
      </w:r>
    </w:p>
    <w:p>
      <w:pPr>
        <w:pStyle w:val="ListBullet"/>
        <w:spacing w:after="40"/>
      </w:pPr>
      <w:r>
        <w:t>Denver $45,519.26   |   Phoenix $45,687.60   |   Seattle $50,789.09</w:t>
      </w:r>
    </w:p>
    <w:p>
      <w:pPr>
        <w:spacing w:after="60"/>
      </w:pPr>
      <w:r>
        <w:rPr>
          <w:b w:val="0"/>
          <w:sz w:val="21"/>
        </w:rPr>
        <w:t>All five cities fit the ceiling at 24 attendees in the base case. Boston wins because its compliant breakfast-included hotel ($108) plus free airport shuttle more than offset its higher airfare vs. Chicago.</w:t>
      </w:r>
    </w:p>
    <w:p>
      <w:pPr>
        <w:spacing w:after="80" w:before="160"/>
      </w:pPr>
      <w:r>
        <w:rPr>
          <w:b/>
          <w:color w:val="1F4E78"/>
          <w:sz w:val="28"/>
        </w:rPr>
        <w:t>3. Key amounts (recommended Boston · 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Airfare (24 × $358)</w:t>
            </w:r>
          </w:p>
        </w:tc>
        <w:tc>
          <w:tcPr>
            <w:tcW w:type="dxa" w:w="4320"/>
          </w:tcPr>
          <w:p>
            <w:r>
              <w:t>8,592.00</w:t>
            </w:r>
          </w:p>
        </w:tc>
      </w:tr>
      <w:tr>
        <w:tc>
          <w:tcPr>
            <w:tcW w:type="dxa" w:w="4320"/>
          </w:tcPr>
          <w:p>
            <w:r>
              <w:t>Lodging room (24 × $108 × 4 nights)</w:t>
            </w:r>
          </w:p>
        </w:tc>
        <w:tc>
          <w:tcPr>
            <w:tcW w:type="dxa" w:w="4320"/>
          </w:tcPr>
          <w:p>
            <w:r>
              <w:t>10,368.00</w:t>
            </w:r>
          </w:p>
        </w:tc>
      </w:tr>
      <w:tr>
        <w:tc>
          <w:tcPr>
            <w:tcW w:type="dxa" w:w="4320"/>
          </w:tcPr>
          <w:p>
            <w:r>
              <w:t>Lodging tax (internal 12% est.)</w:t>
            </w:r>
          </w:p>
        </w:tc>
        <w:tc>
          <w:tcPr>
            <w:tcW w:type="dxa" w:w="4320"/>
          </w:tcPr>
          <w:p>
            <w:r>
              <w:t>1,244.16</w:t>
            </w:r>
          </w:p>
        </w:tc>
      </w:tr>
      <w:tr>
        <w:tc>
          <w:tcPr>
            <w:tcW w:type="dxa" w:w="4320"/>
          </w:tcPr>
          <w:p>
            <w:r>
              <w:t>Registration (24 × $180)</w:t>
            </w:r>
          </w:p>
        </w:tc>
        <w:tc>
          <w:tcPr>
            <w:tcW w:type="dxa" w:w="4320"/>
          </w:tcPr>
          <w:p>
            <w:r>
              <w:t>4,320.00</w:t>
            </w:r>
          </w:p>
        </w:tc>
      </w:tr>
      <w:tr>
        <w:tc>
          <w:tcPr>
            <w:tcW w:type="dxa" w:w="4320"/>
          </w:tcPr>
          <w:p>
            <w:r>
              <w:t>Agency meals (2 dinners + Dec-2 lunch, 24)</w:t>
            </w:r>
          </w:p>
        </w:tc>
        <w:tc>
          <w:tcPr>
            <w:tcW w:type="dxa" w:w="4320"/>
          </w:tcPr>
          <w:p>
            <w:r>
              <w:t>2,400.00</w:t>
            </w:r>
          </w:p>
        </w:tc>
      </w:tr>
      <w:tr>
        <w:tc>
          <w:tcPr>
            <w:tcW w:type="dxa" w:w="4320"/>
          </w:tcPr>
          <w:p>
            <w:r>
              <w:t>Light refreshments (24 × $15 × 3 days)</w:t>
            </w:r>
          </w:p>
        </w:tc>
        <w:tc>
          <w:tcPr>
            <w:tcW w:type="dxa" w:w="4320"/>
          </w:tcPr>
          <w:p>
            <w:r>
              <w:t>1,080.00</w:t>
            </w:r>
          </w:p>
        </w:tc>
      </w:tr>
      <w:tr>
        <w:tc>
          <w:tcPr>
            <w:tcW w:type="dxa" w:w="4320"/>
          </w:tcPr>
          <w:p>
            <w:r>
              <w:t>Ground transport (home↔DCA; airport shuttle free)</w:t>
            </w:r>
          </w:p>
        </w:tc>
        <w:tc>
          <w:tcPr>
            <w:tcW w:type="dxa" w:w="4320"/>
          </w:tcPr>
          <w:p>
            <w:r>
              <w:t>960.00</w:t>
            </w:r>
          </w:p>
        </w:tc>
      </w:tr>
      <w:tr>
        <w:tc>
          <w:tcPr>
            <w:tcW w:type="dxa" w:w="4320"/>
          </w:tcPr>
          <w:p>
            <w:r>
              <w:t>Meeting venue (3 days × $1,200, to be quoted)</w:t>
            </w:r>
          </w:p>
        </w:tc>
        <w:tc>
          <w:tcPr>
            <w:tcW w:type="dxa" w:w="4320"/>
          </w:tcPr>
          <w:p>
            <w:r>
              <w:t>3,600.00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subtotal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32,612.16</w:t>
            </w:r>
          </w:p>
        </w:tc>
      </w:tr>
      <w:tr>
        <w:tc>
          <w:tcPr>
            <w:tcW w:type="dxa" w:w="4320"/>
          </w:tcPr>
          <w:p>
            <w:r>
              <w:t>Contingency reserve (5%)</w:t>
            </w:r>
          </w:p>
        </w:tc>
        <w:tc>
          <w:tcPr>
            <w:tcW w:type="dxa" w:w="4320"/>
          </w:tcPr>
          <w:p>
            <w:r>
              <w:t>1,630.61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34,242.77</w:t>
            </w:r>
          </w:p>
        </w:tc>
      </w:tr>
      <w:tr>
        <w:tc>
          <w:tcPr>
            <w:tcW w:type="dxa" w:w="4320"/>
          </w:tcPr>
          <w:p>
            <w:r>
              <w:t>Budget ceiling</w:t>
            </w:r>
          </w:p>
        </w:tc>
        <w:tc>
          <w:tcPr>
            <w:tcW w:type="dxa" w:w="4320"/>
          </w:tcPr>
          <w:p>
            <w:r>
              <w:t>53,000.00</w:t>
            </w:r>
          </w:p>
        </w:tc>
      </w:tr>
      <w:tr>
        <w:tc>
          <w:tcPr>
            <w:tcW w:type="dxa" w:w="4320"/>
          </w:tcPr>
          <w:p>
            <w:r>
              <w:t>Headroom for unquoted/TBD base costs (ex-reserve)</w:t>
            </w:r>
          </w:p>
        </w:tc>
        <w:tc>
          <w:tcPr>
            <w:tcW w:type="dxa" w:w="4320"/>
          </w:tcPr>
          <w:p>
            <w:r>
              <w:t>17,864.03</w:t>
            </w:r>
          </w:p>
        </w:tc>
      </w:tr>
    </w:tbl>
    <w:p>
      <w:pPr>
        <w:spacing w:after="80" w:before="160"/>
      </w:pPr>
      <w:r>
        <w:rPr>
          <w:b/>
          <w:color w:val="1F4E78"/>
          <w:sz w:val="28"/>
        </w:rPr>
        <w:t>4. Itinerary basis</w:t>
      </w:r>
    </w:p>
    <w:p>
      <w:pPr>
        <w:pStyle w:val="ListBullet"/>
        <w:spacing w:after="40"/>
      </w:pPr>
      <w:r>
        <w:t>Arrive Nov 28 (day before); depart Dec 2 (day after) — fully covers training Nov 29–Dec 1.</w:t>
      </w:r>
    </w:p>
    <w:p>
      <w:pPr>
        <w:pStyle w:val="ListBullet"/>
        <w:spacing w:after="40"/>
      </w:pPr>
      <w:r>
        <w:t>Hotel check-in Nov 28 / checkout Dec 2 = 4 nights. Flights, check-in/out, airport↔hotel transfer and venue dates all connect (see workbook 'Itinerary').</w:t>
      </w:r>
    </w:p>
    <w:p>
      <w:pPr>
        <w:pStyle w:val="ListBullet"/>
        <w:spacing w:after="40"/>
      </w:pPr>
      <w:r>
        <w:t>Cheapest fares may be Basic Economy; a changeable fare is advised. The +20% airfare stress band absorbs this.</w:t>
      </w:r>
    </w:p>
    <w:p>
      <w:pPr>
        <w:spacing w:after="80" w:before="160"/>
      </w:pPr>
      <w:r>
        <w:rPr>
          <w:b/>
          <w:color w:val="1F4E78"/>
          <w:sz w:val="28"/>
        </w:rPr>
        <w:t>5. Flight-increase &amp; switching conditions</w:t>
      </w:r>
    </w:p>
    <w:p>
      <w:pPr>
        <w:pStyle w:val="ListBullet"/>
        <w:spacing w:after="40"/>
      </w:pPr>
      <w:r>
        <w:t>Airfare 0% → +20%: KEEP Boston 24. At +20% the total is $36,047.09 — still ~$16,953 under ceiling. No switch within the required band.</w:t>
      </w:r>
    </w:p>
    <w:p>
      <w:pPr>
        <w:pStyle w:val="ListBullet"/>
        <w:spacing w:after="40"/>
      </w:pPr>
      <w:r>
        <w:t>Breakeven: Boston 24 would reach the ceiling only near +208% airfare — not a realistic trigger. So the recommendation does not switch to 18 people or another city on airfare alone in the 0–20% range.</w:t>
      </w:r>
    </w:p>
    <w:p>
      <w:pPr>
        <w:pStyle w:val="ListBullet"/>
        <w:spacing w:after="40"/>
      </w:pPr>
      <w:r>
        <w:t>Only Seattle fails at +20% (24-person $55,713 &gt; ceiling); the other four still fit.</w:t>
      </w:r>
    </w:p>
    <w:p>
      <w:pPr>
        <w:pStyle w:val="ListBullet"/>
        <w:spacing w:after="40"/>
      </w:pPr>
      <w:r>
        <w:t>If Boston becomes unavailable, switch to Chicago 24 ($39,528.72 base case); note Chicago’s $145 hotel is compliant only under FY2027 caps (would breach FY25/26 Dec-1 $142 cap).</w:t>
      </w:r>
    </w:p>
    <w:p>
      <w:pPr>
        <w:spacing w:after="80" w:before="160"/>
      </w:pPr>
      <w:r>
        <w:rPr>
          <w:b/>
          <w:color w:val="1F4E78"/>
          <w:sz w:val="28"/>
        </w:rPr>
        <w:t>6. Unquoted-cost sensitivity</w:t>
      </w:r>
    </w:p>
    <w:p>
      <w:pPr>
        <w:spacing w:after="60"/>
      </w:pPr>
      <w:r>
        <w:rPr>
          <w:b w:val="0"/>
          <w:sz w:val="21"/>
        </w:rPr>
        <w:t>The venue ($3,600) and ground transport are estimates to be quoted. Boston 24 can absorb up to $17,864 of additional base cost before touching the ceiling (reserve preserved); $16,146 after a +20% airfare shock. Recommendation holds as long as unquoted base costs stay within that headroom. It would be overturned only if combined unquoted overruns exceed ~$17.9k (base) — at which point step to Boston 18 (total ≈ $26,627) before changing city.</w:t>
      </w:r>
    </w:p>
    <w:p>
      <w:pPr>
        <w:spacing w:after="80" w:before="160"/>
      </w:pPr>
      <w:r>
        <w:rPr>
          <w:b/>
          <w:color w:val="1F4E78"/>
          <w:sz w:val="28"/>
        </w:rPr>
        <w:t>7. Historical per-diem contrast (FY2025/26/27)</w:t>
      </w:r>
    </w:p>
    <w:p>
      <w:pPr>
        <w:pStyle w:val="ListBullet"/>
        <w:spacing w:after="40"/>
      </w:pPr>
      <w:r>
        <w:t>Applicable year is FY2027 (travel in FY2027, eff. Oct 1 2026). FY25/26 shown for contrast only — not for this reimbursement.</w:t>
      </w:r>
    </w:p>
    <w:p>
      <w:pPr>
        <w:pStyle w:val="ListBullet"/>
        <w:spacing w:after="40"/>
      </w:pPr>
      <w:r>
        <w:t>Boston’s $108 room is compliant under all three FY lodging caps — robust to rate-year.</w:t>
      </w:r>
    </w:p>
    <w:p>
      <w:pPr>
        <w:pStyle w:val="ListBullet"/>
        <w:spacing w:after="40"/>
      </w:pPr>
      <w:r>
        <w:t>Lodging caps rose slightly FY25→FY27; M&amp;IE unchanged. Event dollar totals are unchanged by FY (quotes held constant); only compliance/benchmarks move. Chicago’s $145 room is non-compliant under FY25/26 Dec-1 caps.</w:t>
      </w:r>
    </w:p>
    <w:p>
      <w:pPr>
        <w:spacing w:after="80" w:before="160"/>
      </w:pPr>
      <w:r>
        <w:rPr>
          <w:b/>
          <w:color w:val="1F4E78"/>
          <w:sz w:val="28"/>
        </w:rPr>
        <w:t>8. Conditions before approval (see approval_register.csv)</w:t>
      </w:r>
    </w:p>
    <w:p>
      <w:pPr>
        <w:pStyle w:val="ListBullet"/>
        <w:spacing w:after="40"/>
      </w:pPr>
      <w:r>
        <w:t>Venue address &amp; 24-seat capacity not yet confirmed (Location Cost Estimate) — execution condition.</w:t>
      </w:r>
    </w:p>
    <w:p>
      <w:pPr>
        <w:pStyle w:val="ListBullet"/>
        <w:spacing w:after="40"/>
      </w:pPr>
      <w:r>
        <w:t>Hotel 24-room block at quoted rate not confirmed; single-occupancy quote used as whole-group estimate only.</w:t>
      </w:r>
    </w:p>
    <w:p>
      <w:pPr>
        <w:pStyle w:val="ListBullet"/>
        <w:spacing w:after="40"/>
      </w:pPr>
      <w:r>
        <w:t>Flight group inventory at quoted fare not guaranteed; FEMA fire-safe accommodation status to be verified.</w:t>
      </w:r>
    </w:p>
    <w:p>
      <w:pPr>
        <w:pStyle w:val="ListBullet"/>
        <w:spacing w:after="40"/>
      </w:pPr>
      <w:r>
        <w:t>Funds availability, attendee roster/justification, and exact RD Instruction 2036-A clauses to be confirmed. Hotel/venue vendor eligibility, procurement and funding not yet verified.</w:t>
      </w:r>
    </w:p>
    <w:p>
      <w:pPr>
        <w:spacing w:after="80" w:before="160"/>
      </w:pPr>
      <w:r>
        <w:rPr>
          <w:b/>
          <w:color w:val="1F4E78"/>
          <w:sz w:val="28"/>
        </w:rPr>
        <w:t>9. Status of estimates</w:t>
      </w:r>
    </w:p>
    <w:p>
      <w:pPr>
        <w:spacing w:after="60"/>
      </w:pPr>
      <w:r>
        <w:rPr>
          <w:b w:val="0"/>
          <w:sz w:val="21"/>
        </w:rPr>
        <w:t>Known/quoted: flights, hotel nightly rates, registration, per-diem caps. Estimated: agency meals (GSA M&amp;IE components), light refreshments, ground transport, internal 12% lodging tax. To be quoted: meeting venue, group room block, final catering. No quotes, inventory, bookings, credentials or approvals are fabricated; page-absent details are listed as to-verify.</w:t>
      </w:r>
    </w:p>
    <w:p>
      <w:pPr>
        <w:spacing w:after="60"/>
      </w:pPr>
      <w:r>
        <w:rPr>
          <w:b w:val="0"/>
          <w:sz w:val="21"/>
        </w:rPr>
      </w:r>
    </w:p>
    <w:p>
      <w:r>
        <w:rPr>
          <w:i/>
          <w:color w:val="C00000"/>
          <w:sz w:val="17"/>
        </w:rPr>
        <w:t>Snapshot notice: This brief reflects the itinerary and parameters in conference_budget.xlsx as of 2026-10-24. If parameters or dates change, re-check quote applicability in the workbook and re-export this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