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4"/>
        </w:rPr>
        <w:t>USDA Rural Development｜集中培训审批简报</w:t>
      </w:r>
    </w:p>
    <w:p>
      <w:pPr>
        <w:jc w:val="center"/>
      </w:pPr>
      <w:r>
        <w:t>决策快照｜查询 2026-10-24 04:30 UTC｜培训 2026-11-29—12-01｜行程 11-28—12-02</w:t>
      </w:r>
    </w:p>
    <w:p>
      <w:pPr>
        <w:pStyle w:val="Heading1"/>
      </w:pPr>
      <w:r>
        <w:t>建议</w:t>
      </w:r>
    </w:p>
    <w:p>
      <w:r>
        <w:t>条件性首选：Chicago，24人，DCA–ORD直飞，Staybridge Suites Chicago—Glenview暂估。已报价/估算基础 $31,399.68，5%储备后 $32,969.66；票价再涨20%为 $34,330.46。场地、统一供餐、茶歇、早餐确认及其他待询价费用当前输入为 $0，绝非免费或报价。</w:t>
      </w:r>
    </w:p>
    <w:p>
      <w:r>
        <w:t>不建议此时签约或出具最终旅行授权。所有酒店均缺评价数量、近期卫生/噪声/维护审查之一；团体同价、24间库存、早餐、税费/必要费用、退改条款、场地容量与采购资格尚未核实。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方案</w:t>
            </w:r>
          </w:p>
        </w:tc>
        <w:tc>
          <w:tcPr>
            <w:tcW w:type="dxa" w:w="2074"/>
          </w:tcPr>
          <w:p>
            <w:r>
              <w:t>基准含储备</w:t>
            </w:r>
          </w:p>
        </w:tc>
        <w:tc>
          <w:tcPr>
            <w:tcW w:type="dxa" w:w="2074"/>
          </w:tcPr>
          <w:p>
            <w:r>
              <w:t>+20%机票</w:t>
            </w:r>
          </w:p>
        </w:tc>
        <w:tc>
          <w:tcPr>
            <w:tcW w:type="dxa" w:w="2074"/>
          </w:tcPr>
          <w:p>
            <w:r>
              <w:t>待询价上限(基准)</w:t>
            </w:r>
          </w:p>
        </w:tc>
        <w:tc>
          <w:tcPr>
            <w:tcW w:type="dxa" w:w="2074"/>
          </w:tcPr>
          <w:p>
            <w:r>
              <w:t>待询价上限(+20%)</w:t>
            </w:r>
          </w:p>
        </w:tc>
      </w:tr>
      <w:tr>
        <w:tc>
          <w:tcPr>
            <w:tcW w:type="dxa" w:w="2074"/>
          </w:tcPr>
          <w:p>
            <w:r>
              <w:t>Chicago 24</w:t>
            </w:r>
          </w:p>
        </w:tc>
        <w:tc>
          <w:tcPr>
            <w:tcW w:type="dxa" w:w="2074"/>
          </w:tcPr>
          <w:p>
            <w:r>
              <w:t>$32,969.66</w:t>
            </w:r>
          </w:p>
        </w:tc>
        <w:tc>
          <w:tcPr>
            <w:tcW w:type="dxa" w:w="2074"/>
          </w:tcPr>
          <w:p>
            <w:r>
              <w:t>$34,330.46</w:t>
            </w:r>
          </w:p>
        </w:tc>
        <w:tc>
          <w:tcPr>
            <w:tcW w:type="dxa" w:w="2074"/>
          </w:tcPr>
          <w:p>
            <w:r>
              <w:t>$19,076.51</w:t>
            </w:r>
          </w:p>
        </w:tc>
        <w:tc>
          <w:tcPr>
            <w:tcW w:type="dxa" w:w="2074"/>
          </w:tcPr>
          <w:p>
            <w:r>
              <w:t>$17,780.51</w:t>
            </w:r>
          </w:p>
        </w:tc>
      </w:tr>
      <w:tr>
        <w:tc>
          <w:tcPr>
            <w:tcW w:type="dxa" w:w="2074"/>
          </w:tcPr>
          <w:p>
            <w:r>
              <w:t>Boston 24</w:t>
            </w:r>
          </w:p>
        </w:tc>
        <w:tc>
          <w:tcPr>
            <w:tcW w:type="dxa" w:w="2074"/>
          </w:tcPr>
          <w:p>
            <w:r>
              <w:t>$36,374.69</w:t>
            </w:r>
          </w:p>
        </w:tc>
        <w:tc>
          <w:tcPr>
            <w:tcW w:type="dxa" w:w="2074"/>
          </w:tcPr>
          <w:p>
            <w:r>
              <w:t>$37,967.33</w:t>
            </w:r>
          </w:p>
        </w:tc>
        <w:tc>
          <w:tcPr>
            <w:tcW w:type="dxa" w:w="2074"/>
          </w:tcPr>
          <w:p>
            <w:r>
              <w:t>$15,833.63</w:t>
            </w:r>
          </w:p>
        </w:tc>
        <w:tc>
          <w:tcPr>
            <w:tcW w:type="dxa" w:w="2074"/>
          </w:tcPr>
          <w:p>
            <w:r>
              <w:t>$14,316.83</w:t>
            </w:r>
          </w:p>
        </w:tc>
      </w:tr>
      <w:tr>
        <w:tc>
          <w:tcPr>
            <w:tcW w:type="dxa" w:w="2074"/>
          </w:tcPr>
          <w:p>
            <w:r>
              <w:t>Denver 24</w:t>
            </w:r>
          </w:p>
        </w:tc>
        <w:tc>
          <w:tcPr>
            <w:tcW w:type="dxa" w:w="2074"/>
          </w:tcPr>
          <w:p>
            <w:r>
              <w:t>$37,344.89</w:t>
            </w:r>
          </w:p>
        </w:tc>
        <w:tc>
          <w:tcPr>
            <w:tcW w:type="dxa" w:w="2074"/>
          </w:tcPr>
          <w:p>
            <w:r>
              <w:t>$40,237.85</w:t>
            </w:r>
          </w:p>
        </w:tc>
        <w:tc>
          <w:tcPr>
            <w:tcW w:type="dxa" w:w="2074"/>
          </w:tcPr>
          <w:p>
            <w:r>
              <w:t>$14,909.63</w:t>
            </w:r>
          </w:p>
        </w:tc>
        <w:tc>
          <w:tcPr>
            <w:tcW w:type="dxa" w:w="2074"/>
          </w:tcPr>
          <w:p>
            <w:r>
              <w:t>$12,154.43</w:t>
            </w:r>
          </w:p>
        </w:tc>
      </w:tr>
      <w:tr>
        <w:tc>
          <w:tcPr>
            <w:tcW w:type="dxa" w:w="2074"/>
          </w:tcPr>
          <w:p>
            <w:r>
              <w:t>Phoenix 24</w:t>
            </w:r>
          </w:p>
        </w:tc>
        <w:tc>
          <w:tcPr>
            <w:tcW w:type="dxa" w:w="2074"/>
          </w:tcPr>
          <w:p>
            <w:r>
              <w:t>$36,489.60</w:t>
            </w:r>
          </w:p>
        </w:tc>
        <w:tc>
          <w:tcPr>
            <w:tcW w:type="dxa" w:w="2074"/>
          </w:tcPr>
          <w:p>
            <w:r>
              <w:t>$39,417.84</w:t>
            </w:r>
          </w:p>
        </w:tc>
        <w:tc>
          <w:tcPr>
            <w:tcW w:type="dxa" w:w="2074"/>
          </w:tcPr>
          <w:p>
            <w:r>
              <w:t>$15,724.19</w:t>
            </w:r>
          </w:p>
        </w:tc>
        <w:tc>
          <w:tcPr>
            <w:tcW w:type="dxa" w:w="2074"/>
          </w:tcPr>
          <w:p>
            <w:r>
              <w:t>$12,935.39</w:t>
            </w:r>
          </w:p>
        </w:tc>
      </w:tr>
    </w:tbl>
    <w:p>
      <w:pPr>
        <w:pStyle w:val="Heading1"/>
      </w:pPr>
      <w:r>
        <w:t>航程与机场依据</w:t>
      </w:r>
    </w:p>
    <w:p>
      <w:r>
        <w:t>以总部为统一基点选择DCA：相较IAD/BWI，DCA更接近1400 Independence Ave SW；公开结果显示四城可用直飞。总部↔DCA按每人往返$12内部暂估；实际住所、方式、时间和票据缺失，须按个人授权重算。11月28日到达、12月2日返程，确保完整参加且避免培训日跨时区。</w:t>
      </w:r>
    </w:p>
    <w:p>
      <w:pPr>
        <w:pStyle w:val="Heading1"/>
      </w:pPr>
      <w:r>
        <w:t>切换与压力边界</w:t>
      </w:r>
    </w:p>
    <w:p>
      <w:r>
        <w:t>在机票涨幅0%—20%内，Chicago与Boston之间不发生仅由机票引起的切换：Chicago起始成本和票价斜率均更低。基准时，当 U_Chicago−U_Boston &gt; $3,242.88（各方案独立待询价基础费用差）且Boston全部阻断项关闭，转Boston；涨幅g时边界见工作簿 Thresholds_Actions。Chicago 24人的待询价基础费用合计上限为 $19,076.51，20%票价压力下为 $17,780.51。先比较所有合格24人方案；仅当均超上限才降至18人；若所有合格18人方案仍超上限，则不批准。</w:t>
      </w:r>
    </w:p>
    <w:p>
      <w:pPr>
        <w:pStyle w:val="Heading1"/>
      </w:pPr>
      <w:r>
        <w:t>候选范围与酒店质量</w:t>
      </w:r>
    </w:p>
    <w:p>
      <w:r>
        <w:t>统一准入：住客评分≥8.0/10、评价数≥100，且近期评价无未解决的卫生、夜间噪声或设施维护模式。Chicago、Denver、Phoenix、Boston各记录两家具体酒店；平台卡片显示评分与价格，但未显示评价数及近期专题反馈，因此均为“未准入”。Seattle因航班/酒店搜索触发验证且无可核实报价而排除。具体取舍、第二候选及交通风险见工作簿 Itineraries_Hotels。</w:t>
      </w:r>
    </w:p>
    <w:p>
      <w:pPr>
        <w:pStyle w:val="Heading1"/>
      </w:pPr>
      <w:r>
        <w:t>费率与餐费口径</w:t>
      </w:r>
    </w:p>
    <w:p>
      <w:r>
        <w:t>FY2027为本次实际比较：Chicago 11月$232、12月$148；Denver $170；Phoenix $165；Boston $213；Seattle $188。市场房价均保持原报价，不截价；住宿税按可报销住宿额12%内部估算。注册费含11/29—12/1午餐；政府餐扣减按提供的M&amp;IE分项资料，酒店免费早餐依FTR 301-11.17不扣M&amp;IE。FY2025/26仅历史敏感性比较，保持市场报价等假设不变，因此预算金额不变，只影响住宿合规判断；所列有报价酒店在三年度对应月上限下均合规。</w:t>
      </w:r>
    </w:p>
    <w:p>
      <w:pPr>
        <w:pStyle w:val="Heading1"/>
      </w:pPr>
      <w:r>
        <w:t>批准前提（阻断）</w:t>
      </w:r>
    </w:p>
    <w:p>
      <w:pPr>
        <w:pStyle w:val="ListBullet"/>
      </w:pPr>
      <w:r>
        <w:t>取得Chicago和有效备选的团体书面报价：24间单人房×4晚、早餐、税费/必要费用、退改、足量库存；完成近期评价审查。</w:t>
      </w:r>
    </w:p>
    <w:p>
      <w:pPr>
        <w:pStyle w:val="ListBullet"/>
      </w:pPr>
      <w:r>
        <w:t>场地RFP：11/29—12/1容量、可用时间、地址、设备/网络、无障碍、安全、采购资质；核实酒店—会场交通。</w:t>
      </w:r>
    </w:p>
    <w:p>
      <w:pPr>
        <w:pStyle w:val="ListBullet"/>
      </w:pPr>
      <w:r>
        <w:t>取得11/28晚餐、12/1晚餐、12/2午餐及三日茶歇报价；确认餐费扣减与采购规则。</w:t>
      </w:r>
    </w:p>
    <w:p>
      <w:pPr>
        <w:pStyle w:val="ListBullet"/>
      </w:pPr>
      <w:r>
        <w:t>票务渠道确认政府可购票价、行李/选座与退改；重新核实所有市场报价。</w:t>
      </w:r>
    </w:p>
    <w:p>
      <w:pPr>
        <w:pStyle w:val="ListBullet"/>
      </w:pPr>
      <w:r>
        <w:t>政策/审批：获取并核对RD Instruction 2036-A（2024-07-19版）、最新FTR/GSA资料、资金与采购授权、议程、人员必要性、远程替代论证及表单签署。</w:t>
      </w:r>
    </w:p>
    <w:p>
      <w:r>
        <w:t>参数变更后须重算工作簿，并重新导出本DOCX、CSV、PPT和审批PDF。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