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北新英格兰银行组合：经营诊断与资源决定</w:t>
      </w:r>
    </w:p>
    <w:p>
      <w:pPr>
        <w:pStyle w:val="Heading1"/>
      </w:pPr>
      <w:r>
        <w:t>执行摘要与推荐决定</w:t>
      </w:r>
    </w:p>
    <w:p>
      <w:r>
        <w:t>本样本746条银行季度、54家银行、14个季度；固定全期49家。四项组合率的动态范围并不都覆盖相同机构，资本和净核销尤其须披露不可计算记录。建议采用分批专题复核：先解决组合影响较大的机构和多重信号，再处理小规模高增长与单项异常；不是直接压降所有低排名银行。</w:t>
      </w:r>
    </w:p>
    <w:p>
      <w:r>
        <w:t>资产回报率：2022Q1 0.807165%→2025Q2 0.758130%，变化-0.049036个百分点；持续机构表现-0.186818、权重+0.069330、起点样本差+0.045956、终点样本差+0.022496个百分点。桥接残差-0.0000000000。</w:t>
      </w:r>
    </w:p>
    <w:p>
      <w:r>
        <w:t>非应计资产率：2022Q1 0.219794%→2025Q2 0.352970%，变化+0.133176个百分点；持续机构表现+0.113514、权重+0.024897、起点样本差-0.006806、终点样本差+0.001571个百分点。桥接残差0.0000000000。</w:t>
      </w:r>
    </w:p>
    <w:p>
      <w:r>
        <w:t>净核销率：2022Q1 0.016249%→2025Q2 0.026733%，变化+0.010485个百分点；持续机构表现+0.008986、权重+0.001620、起点样本差+0.000367、终点样本差-0.000488个百分点。桥接残差0.0000000000。</w:t>
      </w:r>
    </w:p>
    <w:p>
      <w:r>
        <w:t>总风险资本比率：2022Q1 15.138625%→2025Q2 14.214517%，变化-0.924109个百分点；持续机构表现-1.228299、权重+0.165819、起点样本差-0.016960、终点样本差+0.155332个百分点。桥接残差-0.0000000000。</w:t>
      </w:r>
    </w:p>
    <w:p>
      <w:pPr>
        <w:pStyle w:val="Heading1"/>
      </w:pPr>
      <w:r>
        <w:t>主要组合变化由谁推动</w:t>
      </w:r>
    </w:p>
    <w:p>
      <w:r>
        <w:t>资产回报率，BANGOR SAVINGS BANK（18408）：固定样本中表现贡献-0.055703、权重贡献-0.005618、合计-0.061321个百分点；自身指标0.599350%→0.106278%。来源见“组合关键机构解释”的原件键。</w:t>
      </w:r>
    </w:p>
    <w:p>
      <w:r>
        <w:t>资产回报率，THE CAMDEN NATIONAL BANK（4255）：固定样本中表现贡献-0.052929、权重贡献-0.000647、合计-0.053576个百分点；自身指标1.276833%→0.719074%。来源见“组合关键机构解释”的原件键。</w:t>
      </w:r>
    </w:p>
    <w:p>
      <w:r>
        <w:t>资产回报率，NORTHEAST BANK（19690）：固定样本中表现贡献-0.030787、权重贡献+0.083534、合计+0.052747个百分点；自身指标2.798877%→2.091842%。来源见“组合关键机构解释”的原件键。</w:t>
      </w:r>
    </w:p>
    <w:p>
      <w:r>
        <w:t>非应计资产率，BANGOR SAVINGS BANK（18408）：固定样本中表现贡献+0.043307、权重贡献-0.004647、合计+0.038659个百分点；自身指标0.071944%→0.457134%。来源见“组合关键机构解释”的原件键。</w:t>
      </w:r>
    </w:p>
    <w:p>
      <w:r>
        <w:t>非应计资产率，NORTHEAST BANK（19690）：固定样本中表现贡献-0.014306、权重贡献+0.032392、合计+0.018087个百分点；自身指标1.143721%→0.818192%。来源见“组合关键机构解释”的原件键。</w:t>
      </w:r>
    </w:p>
    <w:p>
      <w:r>
        <w:t>非应计资产率，THE CAMDEN NATIONAL BANK（4255）：固定样本中表现贡献+0.017398、权重贡献+0.000485、合计+0.017882个百分点；自身指标0.082338%→0.263332%。来源见“组合关键机构解释”的原件键。</w:t>
      </w:r>
    </w:p>
    <w:p>
      <w:r>
        <w:t>净核销率，NORTHEAST BANK（19690）：固定样本中表现贡献+0.007998、权重贡献+0.002303、合计+0.010300个百分点；自身指标-0.020882%→0.137738%。来源见“组合关键机构解释”的原件键。</w:t>
      </w:r>
    </w:p>
    <w:p>
      <w:r>
        <w:t>净核销率，COMMUNITY NATIONAL BANK（6271）：固定样本中表现贡献-0.006653、权重贡献-0.000013、合计-0.006666个百分点；自身指标0.393338%→0.015782%。来源见“组合关键机构解释”的原件键。</w:t>
      </w:r>
    </w:p>
    <w:p>
      <w:r>
        <w:t>净核销率，BAR HARBOR BANK &amp; TRUST（11971）：固定样本中表现贡献+0.002228、权重贡献-0.000023、合计+0.002205个百分点；自身指标-0.014630%→0.020998%。来源见“组合关键机构解释”的原件键。</w:t>
      </w:r>
    </w:p>
    <w:p>
      <w:r>
        <w:t>总风险资本比率，NORTHEAST BANK（19690）：固定样本中表现贡献-0.392420、权重贡献+0.887205、合计+0.494786个百分点；自身指标20.601954%→14.696581%。来源见“组合关键机构解释”的原件键。</w:t>
      </w:r>
    </w:p>
    <w:p>
      <w:r>
        <w:t>总风险资本比率，BANGOR SAVINGS BANK（18408）：固定样本中表现贡献-0.270476、权重贡献-0.066453、合计-0.336929个百分点；自身指标13.123308%→11.148900%。来源见“组合关键机构解释”的原件键。</w:t>
      </w:r>
    </w:p>
    <w:p>
      <w:r>
        <w:t>总风险资本比率，BAR HARBOR BANK &amp; TRUST（11971）：固定样本中表现贡献+0.003951、权重贡献-0.132680、合计-0.128729个百分点；自身指标13.678961%→13.723581%。来源见“组合关键机构解释”的原件键。</w:t>
      </w:r>
    </w:p>
    <w:p>
      <w:r>
        <w:t>BANGOR和CAMDEN对ROA存在显著负向固定样本贡献。NORTHEAST自身ROA下降，但较高ROA业务的权重扩大可以对组合产生正向权重贡献，不能因此写成该行盈利能力已经改善。非应计资产率也可能同时受到某家自身问题变化和权重变化影响；必须与全体样本桥接共同解释。</w:t>
      </w:r>
    </w:p>
    <w:p>
      <w:r>
        <w:t>表中是会计算术归因，起终点样本差包括范围/适用性变化，不证明机构进入、退出或变化就是并购。主要机构的业务原因仍需资料，不把固定样本贡献当作全部动态变化。</w:t>
      </w:r>
    </w:p>
    <w:p>
      <w:pPr>
        <w:pStyle w:val="Heading1"/>
      </w:pPr>
      <w:r>
        <w:t>信用、资本、盈利的竞争解释</w:t>
      </w:r>
    </w:p>
    <w:p>
      <w:r>
        <w:t>信用：BANGOR非应计资产4032→33535千美元，资产7222033→7335916千美元；非应计金额增加而资产亦增长，反对“全部由资产分母收缩造成”的说法。新增违约、存量迁徙、处置或范围变化需要贷款桥接后区分。UNION和WALDEN也有实际金额增加，不能只用比率变化大小排序资源。</w:t>
      </w:r>
    </w:p>
    <w:p>
      <w:r>
        <w:t>资本：BANGOR RBC 581832→600450、RWA 5105717→5385733千美元；UNION RBC 121026→124743、RWA 921495→988186千美元。两者资本率下降时资本金额反而增长，直接可核的解释是分母增长更快，不是资本损失。LEDYARD RBC 87737→85991而RWA 609385→692019千美元，分子下降和分母增加都需解释；同步的贷款增长不直接证明因果。</w:t>
      </w:r>
    </w:p>
    <w:p>
      <w:r>
        <w:t>盈利：FIRST SEACOAST NETINCA 1730→-2286千美元而NIMY 2.107948→2.325611%，非应计资产141→14千美元，现有观察不支持把全部盈利压力归为息差收窄或已观测信用恶化。BRATTLEBORO NETINCA 2032→-932千美元而NIMY 3.681000→4.008649%；应核对拨备、非息费用和一次性项目。以上NETINCA为年化期间指标，不当作独立季度现金损失。</w:t>
      </w:r>
    </w:p>
    <w:p>
      <w:r>
        <w:t>资金与结构：BRATTLEBORO存款254557→248250而总贷款202274→208887千美元，可要求资金来源和期限结构。贷款/存款不是法定流动性比率，不能直接据此认定挤兑。LNRE为广义房地产，需取得细分后才能评估商业地产类型集中度。</w:t>
      </w:r>
    </w:p>
    <w:p>
      <w:pPr>
        <w:pStyle w:val="Heading1"/>
      </w:pPr>
      <w:r>
        <w:t>持续性与同业比较</w:t>
      </w:r>
    </w:p>
    <w:p>
      <w:r>
        <w:t>定义持续盈利落后为完整覆盖4个6月同季、且每期ROA严格低于当期动态样本银行ROA中位数；识别10家：17743 SACO &amp; BIDDEFORD SAVINGS INSTITUTION；18031 WOODSVILLE GUARANTY SAVINGS BANK；27824 SALEM CO-OPERATIVE BANK；28155 PROFILE BANK；28288 AUBURN SAVINGS BANK, FSB；28369 ROCKLAND SAVINGS BANK, FSB；29636 FIRST FEDERAL SAVINGS AND LOAN ASSOCIATION OF BATH；29744 FIRST SEACOAST BANK；30878 BAR HARBOR SAVINGS AND LOAN ASSOCIATION；59176 THE MILLYARD BANK。本定义是样本相对筛查，不代表亏损或监管评级。缺期不当作落后或改善，使用同季避免年内累计指标的季节口径错配。</w:t>
      </w:r>
    </w:p>
    <w:p>
      <w:r>
        <w:t>当前同业分别按历史财务州及期末资产规模分组；规模分界为本样本资产中位数862811千美元，中位数相等归较小组。组内中位数包含本机构，工作簿逐指标披露可计算银行数及偏离值。单一州或规模不能控制所有商业模式差异，不将其当作因果基准。</w:t>
      </w:r>
    </w:p>
    <w:p>
      <w:pPr>
        <w:pStyle w:val="Heading1"/>
      </w:pPr>
      <w:r>
        <w:t>优先范围、顺序及机会成本</w:t>
      </w:r>
    </w:p>
    <w:p>
      <w:r>
        <w:t>优先范围先保留非应计资产率同比变化前5、末期ROA最低3和可计算资本率最低3的并集，再加入对ROA固定样本总贡献绝对值靠前的CAMDEN，以及净核销变化贡献突出的NORTHEAST，共11家。信号阈值及该范围为内部研究安排，不是监管门槛；其他透明且有证据的选择也可成立。</w:t>
      </w:r>
    </w:p>
    <w:p>
      <w:r>
        <w:t>第一批BANGOR、CAMDEN、NORTHEAST、UNION优先解释对组合结论影响较大或多信号重叠的问题；第二批LEDYARD、FIRST SEACOAST、BRATTLEBORO、SALEM开展资本或盈利专题；第三批WALDEN、FRANKLIN、NORTHFIELD维持定点核验，防止小规模的大百分比变化占用全部资源。第三批不等于无风险；需要新证据时允许提前。</w:t>
      </w:r>
    </w:p>
    <w:p>
      <w:r>
        <w:t>方案A对所有期末机构平均发出统一全套资料请求，覆盖较广，但会将尚未显现重大问题的机构与主要贡献机构放在同一队列。方案B按上述分批，仅索回答具体问题的首批资料，减少无差别请求，代价是未入选机构只能靠后续季度监测发现新问题。建议B，并保留其余样本的四指标和资料可得性监测；有新增重大信号即可调整队列。未虚构团队人数或已有预算。</w:t>
      </w:r>
    </w:p>
    <w:p>
      <w:pPr>
        <w:pStyle w:val="Heading1"/>
      </w:pPr>
      <w:r>
        <w:t>90天建议与独立复核边界</w:t>
      </w:r>
    </w:p>
    <w:p>
      <w:r>
        <w:t>逐家问题、最小资料、观察触发条件、建议责任岗位及关闭证据见配套简报与模型“有序跟进”页，11家逐项对应。第一批第15天形成首批差额清单，其余第30天；第45天复核，第60天形成条件行动，第90天依据证据关闭或升级。资料缺失不等于问题关闭。</w:t>
      </w:r>
    </w:p>
    <w:p>
      <w:r>
        <w:t>问题的算术来源已解释和风险已经解除是不同结论。由风险资产扩张造成的资本率下降，即使桥接闭合仍可能要求前瞻资本计划；真实迁徙已解释也不代表信用风险消失。岗位和动作均是建议，不代表真实银行授权或实际实施。</w:t>
      </w:r>
    </w:p>
    <w:p>
      <w:pPr>
        <w:pStyle w:val="Heading1"/>
      </w:pPr>
      <w:r>
        <w:t>指标、来源和权限边界</w:t>
      </w:r>
    </w:p>
    <w:p>
      <w:r>
        <w:t>ROA用NETINCA/ASSET5；非应计资产率用NAASSET/ASSET；净核销用年化NTLNLSA/平均贷款LNLSGR5；总风险资本用RBC/RWAJT，组合分别求分子分母之和。NCLNLSR为非应计贷款率，不是净核销。NTLNLS是年内累计，不能跨季度相加；负核销值可以是净收回。</w:t>
      </w:r>
    </w:p>
    <w:p>
      <w:r>
        <w:t>227个银行季度RWAJT=0、13个LNLSGR5=0，相关指标保持不可计算，制度适用性原因待核验；不补为真实0%。较晚机构表的ACTIVE状态不回填历史。</w:t>
      </w:r>
    </w:p>
    <w:p>
      <w:r>
        <w:t>FDIC Loans PDF第3-4页不提供统一贷款比率门槛，OCC PDF第3页说明评级系统应适配业务复杂度。手册指导只用于设计核验问题，不足以替代监管评级。贷款手册和机构表晚于研究截点，研究为回顾分析；不宣称还原2025年当时可得信息，不外推全国。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