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USDA Rural Development — Centralized Training</w:t>
        <w:br/>
        <w:t>Conference Site &amp; Budget Approval Brief</w:t>
      </w:r>
    </w:p>
    <w:p>
      <w:pPr>
        <w:jc w:val="center"/>
      </w:pPr>
      <w:r>
        <w:t>Conference Coordinator, USDA Rural Development | Analysis: 2026-10-24 | Training: November 29–December 1, 2026</w:t>
      </w:r>
    </w:p>
    <w:p>
      <w:pPr>
        <w:pStyle w:val="Heading1"/>
        <w:spacing w:after="80" w:before="160"/>
      </w:pPr>
      <w:r>
        <w:t>1. Recommendation and decision status</w:t>
      </w:r>
    </w:p>
    <w:p>
      <w:pPr>
        <w:spacing w:after="60"/>
      </w:pPr>
      <w:r>
        <w:t>No fully qualified, executable recommendation can yet be issued. Boston / 24 attendees is the priority cost-screening and evidence-completion option; Boston / DCA–BOS American $358 flight / 24 attendees (next recorded candidate) is the competing backup. Hotel quality, occupancy, group inventory, final venue and approval evidence remain incomplete. This is not an authorization to book.</w:t>
      </w:r>
    </w:p>
    <w:p>
      <w:pPr>
        <w:pStyle w:val="ListBullet"/>
        <w:spacing w:after="40"/>
      </w:pPr>
      <w:r>
        <w:t>Known/estimated base subtotal: $35,420.16; 5% reserve on that subtotal: $1,771.01; partial estimate including reserve: $37,191.17. The complete conditional total is (base + U_city) × 1.05, where U_city is additional unquoted BASE cost, separately specified for each city and headcount. It is not zero and is not assumed equal between cities.</w:t>
      </w:r>
    </w:p>
    <w:p>
      <w:pPr>
        <w:pStyle w:val="ListBullet"/>
        <w:spacing w:after="40"/>
      </w:pPr>
      <w:r>
        <w:t>Flights: DCA–BOS round trip, 1 adult, November 28–December 2, 2026, $311 per person; Google Flights captured October 24, 2026, retained unchanged in travel_evidence.pptx. Public single-ticket fare, not a held group rate. Reconfirm occupancy, restrictions, schedule and availability before authorization.</w:t>
      </w:r>
    </w:p>
    <w:p>
      <w:pPr>
        <w:pStyle w:val="ListBullet"/>
        <w:spacing w:after="40"/>
      </w:pPr>
      <w:r>
        <w:t>Lodging: DoubleTree by Hilton Boston Bayside, $108 per room/night, King Room in a one-room/one-adult Trip.com search; breakfast is NOT shown in the adopted card and remains unverified. Original dated public captures are in travel_evidence.pptx. Single-occupancy price, breakfast and necessary-charge conditions not shown in a source are explicitly unresolved; a two-guest room quote is not proof of the required single-occupancy rate.</w:t>
      </w:r>
    </w:p>
    <w:p>
      <w:pPr>
        <w:pStyle w:val="ListBullet"/>
        <w:spacing w:after="40"/>
      </w:pPr>
      <w:r>
        <w:t>Why compare 24 before 18: this is the requested financial priority, not evidence that 24 people need to travel. The sponsoring program must substantiate the 18-person core and the marginal six attendees separately before approving either tier (R-04).</w:t>
      </w:r>
    </w:p>
    <w:p>
      <w:pPr>
        <w:pStyle w:val="Heading1"/>
        <w:spacing w:after="80" w:before="160"/>
      </w:pPr>
      <w:r>
        <w:t>2. How the comparison was made</w:t>
      </w:r>
    </w:p>
    <w:p>
      <w:pPr>
        <w:spacing w:after="60"/>
      </w:pPr>
      <w:r>
        <w:t>Five cities and both headcounts remain in the comparison. Options contains ten city–headcount groups; the workbook's hotel-quality and alternative-combination areas identifies the existing alternative flight/hotel evidence, scope, restrictions and unresolved conditions. Access failures and missing terms do not prove a city infeasible.</w:t>
      </w:r>
    </w:p>
    <w:p>
      <w:pPr>
        <w:spacing w:after="60"/>
      </w:pPr>
      <w:r>
        <w:t>Apply eligibility first, then maximize headcount, minimize the conditional total within that headcount, then use the English city name for exact ties. Do not reduce to 18 in one city while a qualifying 24-person alternative remains feasible.</w:t>
      </w:r>
    </w:p>
    <w:p>
      <w:pPr>
        <w:spacing w:after="60"/>
      </w:pPr>
      <w:r>
        <w:t>Current comparative partial estimates (including 5% reserve; independent unknown costs remain additional):</w:t>
      </w:r>
    </w:p>
    <w:p>
      <w:pPr>
        <w:pStyle w:val="ListBullet"/>
        <w:spacing w:after="40"/>
      </w:pPr>
      <w:r>
        <w:t>Boston / $311 flight / 24: $37,191.17 baseline; $38,758.61 at +20% airfare (cost priority, not quality-admitted).</w:t>
      </w:r>
    </w:p>
    <w:p>
      <w:pPr>
        <w:pStyle w:val="ListBullet"/>
        <w:spacing w:after="40"/>
      </w:pPr>
      <w:r>
        <w:t>Boston / American $358 flight / 24: $38,375.57 baseline; $40,179.89 at +20% (next recorded candidate, not quality-admitted).</w:t>
      </w:r>
    </w:p>
    <w:p>
      <w:pPr>
        <w:pStyle w:val="ListBullet"/>
        <w:spacing w:after="40"/>
      </w:pPr>
      <w:r>
        <w:t>Chicago Embassy $158 Agoda / $159 Booking.com breakfast-included offers are excluded: each exceeds the December $148 lodging cap. The $101 two-guest/no-breakfast-established offer is archived and cannot be ranked. Other-city and other-hotel alternatives remain in the workbook, with their own unresolved conditions.</w:t>
      </w:r>
    </w:p>
    <w:p>
      <w:pPr>
        <w:spacing w:after="60"/>
      </w:pPr>
      <w:r>
        <w:t>Quote correction: Chicago Embassy Suites $101 (Billabook, 2 guests) does NOT establish included breakfast and is archived, excluded from ranking. The displayed breakfast-included offers are Agoda $158 and Booking.com $159; each exceeds the Chicago December lodging cap of $148, so neither is compliant without actual-expense authorization (none supplied). Boston DoubleTree $108 breakfast remains unverified. Seattle Country Inn $101 Booking.com DOES show free breakfast, but single occupancy remains unverified. An Embassy maintenance complaint is unresolved; do not claim quality admission from the score alone.</w:t>
      </w:r>
    </w:p>
    <w:p>
      <w:pPr>
        <w:pStyle w:val="Heading1"/>
        <w:spacing w:after="80" w:before="160"/>
      </w:pPr>
      <w:r>
        <w:t>3. Key amounts and budget scope</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Line / scope</w:t>
            </w:r>
          </w:p>
        </w:tc>
        <w:tc>
          <w:tcPr>
            <w:tcW w:type="dxa" w:w="4320"/>
          </w:tcPr>
          <w:p>
            <w:r>
              <w:rPr>
                <w:sz w:val="18"/>
              </w:rPr>
              <w:t>Amount (USD)</w:t>
            </w:r>
          </w:p>
        </w:tc>
      </w:tr>
      <w:tr>
        <w:tc>
          <w:tcPr>
            <w:tcW w:type="dxa" w:w="4320"/>
          </w:tcPr>
          <w:p>
            <w:r>
              <w:rPr>
                <w:sz w:val="18"/>
              </w:rPr>
              <w:t>Public round-trip airfare estimate (24 × $311)</w:t>
            </w:r>
          </w:p>
        </w:tc>
        <w:tc>
          <w:tcPr>
            <w:tcW w:type="dxa" w:w="4320"/>
          </w:tcPr>
          <w:p>
            <w:r>
              <w:rPr>
                <w:sz w:val="18"/>
              </w:rPr>
              <w:t>$7,464.00</w:t>
            </w:r>
          </w:p>
        </w:tc>
      </w:tr>
      <w:tr>
        <w:tc>
          <w:tcPr>
            <w:tcW w:type="dxa" w:w="4320"/>
          </w:tcPr>
          <w:p>
            <w:r>
              <w:rPr>
                <w:sz w:val="18"/>
              </w:rPr>
              <w:t>Boston displayed King Room estimate (24 × $108 × 4 nights)</w:t>
            </w:r>
          </w:p>
        </w:tc>
        <w:tc>
          <w:tcPr>
            <w:tcW w:type="dxa" w:w="4320"/>
          </w:tcPr>
          <w:p>
            <w:r>
              <w:rPr>
                <w:sz w:val="18"/>
              </w:rPr>
              <w:t>$10,368.00</w:t>
            </w:r>
          </w:p>
        </w:tc>
      </w:tr>
      <w:tr>
        <w:tc>
          <w:tcPr>
            <w:tcW w:type="dxa" w:w="4320"/>
          </w:tcPr>
          <w:p>
            <w:r>
              <w:rPr>
                <w:sz w:val="18"/>
              </w:rPr>
              <w:t>Internal lodging tax assumption (12%)</w:t>
            </w:r>
          </w:p>
        </w:tc>
        <w:tc>
          <w:tcPr>
            <w:tcW w:type="dxa" w:w="4320"/>
          </w:tcPr>
          <w:p>
            <w:r>
              <w:rPr>
                <w:sz w:val="18"/>
              </w:rPr>
              <w:t>$1,244.16</w:t>
            </w:r>
          </w:p>
        </w:tc>
      </w:tr>
      <w:tr>
        <w:tc>
          <w:tcPr>
            <w:tcW w:type="dxa" w:w="4320"/>
          </w:tcPr>
          <w:p>
            <w:r>
              <w:rPr>
                <w:sz w:val="18"/>
              </w:rPr>
              <w:t>Registration (24 × $180; 3 lunches included)</w:t>
            </w:r>
          </w:p>
        </w:tc>
        <w:tc>
          <w:tcPr>
            <w:tcW w:type="dxa" w:w="4320"/>
          </w:tcPr>
          <w:p>
            <w:r>
              <w:rPr>
                <w:sz w:val="18"/>
              </w:rPr>
              <w:t>$4,320.00</w:t>
            </w:r>
          </w:p>
        </w:tc>
      </w:tr>
      <w:tr>
        <w:tc>
          <w:tcPr>
            <w:tcW w:type="dxa" w:w="4320"/>
          </w:tcPr>
          <w:p>
            <w:r>
              <w:rPr>
                <w:sz w:val="18"/>
              </w:rPr>
              <w:t>Traveler NET M&amp;IE (24 × $234)</w:t>
            </w:r>
          </w:p>
        </w:tc>
        <w:tc>
          <w:tcPr>
            <w:tcW w:type="dxa" w:w="4320"/>
          </w:tcPr>
          <w:p>
            <w:r>
              <w:rPr>
                <w:sz w:val="18"/>
              </w:rPr>
              <w:t>$5,616.00</w:t>
            </w:r>
          </w:p>
        </w:tc>
      </w:tr>
      <w:tr>
        <w:tc>
          <w:tcPr>
            <w:tcW w:type="dxa" w:w="4320"/>
          </w:tcPr>
          <w:p>
            <w:r>
              <w:rPr>
                <w:sz w:val="18"/>
              </w:rPr>
              <w:t>Agency meals INTERNAL estimate (24 × $102)</w:t>
            </w:r>
          </w:p>
        </w:tc>
        <w:tc>
          <w:tcPr>
            <w:tcW w:type="dxa" w:w="4320"/>
          </w:tcPr>
          <w:p>
            <w:r>
              <w:rPr>
                <w:sz w:val="18"/>
              </w:rPr>
              <w:t>$2,448.00</w:t>
            </w:r>
          </w:p>
        </w:tc>
      </w:tr>
      <w:tr>
        <w:tc>
          <w:tcPr>
            <w:tcW w:type="dxa" w:w="4320"/>
          </w:tcPr>
          <w:p>
            <w:r>
              <w:rPr>
                <w:sz w:val="18"/>
              </w:rPr>
              <w:t>Refreshments INTERNAL estimate (24 × $15 × 3 days)</w:t>
            </w:r>
          </w:p>
        </w:tc>
        <w:tc>
          <w:tcPr>
            <w:tcW w:type="dxa" w:w="4320"/>
          </w:tcPr>
          <w:p>
            <w:r>
              <w:rPr>
                <w:sz w:val="18"/>
              </w:rPr>
              <w:t>$1,080.00</w:t>
            </w:r>
          </w:p>
        </w:tc>
      </w:tr>
      <w:tr>
        <w:tc>
          <w:tcPr>
            <w:tcW w:type="dxa" w:w="4320"/>
          </w:tcPr>
          <w:p>
            <w:r>
              <w:rPr>
                <w:sz w:val="18"/>
              </w:rPr>
              <w:t>Road-transfer INTERNAL estimate (24 × $120)</w:t>
            </w:r>
          </w:p>
        </w:tc>
        <w:tc>
          <w:tcPr>
            <w:tcW w:type="dxa" w:w="4320"/>
          </w:tcPr>
          <w:p>
            <w:r>
              <w:rPr>
                <w:sz w:val="18"/>
              </w:rPr>
              <w:t>$2,880.00</w:t>
            </w:r>
          </w:p>
        </w:tc>
      </w:tr>
      <w:tr>
        <w:tc>
          <w:tcPr>
            <w:tcW w:type="dxa" w:w="4320"/>
          </w:tcPr>
          <w:p>
            <w:r>
              <w:rPr>
                <w:sz w:val="18"/>
              </w:rPr>
              <w:t>Known/estimated base subtotal</w:t>
            </w:r>
          </w:p>
        </w:tc>
        <w:tc>
          <w:tcPr>
            <w:tcW w:type="dxa" w:w="4320"/>
          </w:tcPr>
          <w:p>
            <w:r>
              <w:rPr>
                <w:sz w:val="18"/>
              </w:rPr>
              <w:t>$35,420.16</w:t>
            </w:r>
          </w:p>
        </w:tc>
      </w:tr>
      <w:tr>
        <w:tc>
          <w:tcPr>
            <w:tcW w:type="dxa" w:w="4320"/>
          </w:tcPr>
          <w:p>
            <w:r>
              <w:rPr>
                <w:sz w:val="18"/>
              </w:rPr>
              <w:t>5% reserve on base subtotal</w:t>
            </w:r>
          </w:p>
        </w:tc>
        <w:tc>
          <w:tcPr>
            <w:tcW w:type="dxa" w:w="4320"/>
          </w:tcPr>
          <w:p>
            <w:r>
              <w:rPr>
                <w:sz w:val="18"/>
              </w:rPr>
              <w:t>$1,771.01</w:t>
            </w:r>
          </w:p>
        </w:tc>
      </w:tr>
      <w:tr>
        <w:tc>
          <w:tcPr>
            <w:tcW w:type="dxa" w:w="4320"/>
          </w:tcPr>
          <w:p>
            <w:r>
              <w:rPr>
                <w:sz w:val="18"/>
              </w:rPr>
              <w:t>Partial estimate including reserve</w:t>
            </w:r>
          </w:p>
        </w:tc>
        <w:tc>
          <w:tcPr>
            <w:tcW w:type="dxa" w:w="4320"/>
          </w:tcPr>
          <w:p>
            <w:r>
              <w:rPr>
                <w:sz w:val="18"/>
              </w:rPr>
              <w:t>$37,191.17</w:t>
            </w:r>
          </w:p>
        </w:tc>
      </w:tr>
      <w:tr>
        <w:tc>
          <w:tcPr>
            <w:tcW w:type="dxa" w:w="4320"/>
          </w:tcPr>
          <w:p>
            <w:r>
              <w:rPr>
                <w:sz w:val="18"/>
              </w:rPr>
              <w:t>Complete conditional total</w:t>
            </w:r>
          </w:p>
        </w:tc>
        <w:tc>
          <w:tcPr>
            <w:tcW w:type="dxa" w:w="4320"/>
          </w:tcPr>
          <w:p>
            <w:r>
              <w:rPr>
                <w:sz w:val="18"/>
              </w:rPr>
              <w:t>($35,420.16 + U_Boston) × 1.05</w:t>
            </w:r>
          </w:p>
        </w:tc>
      </w:tr>
      <w:tr>
        <w:tc>
          <w:tcPr>
            <w:tcW w:type="dxa" w:w="4320"/>
          </w:tcPr>
          <w:p>
            <w:r>
              <w:rPr>
                <w:sz w:val="18"/>
              </w:rPr>
              <w:t>Approved budget ceiling</w:t>
            </w:r>
          </w:p>
        </w:tc>
        <w:tc>
          <w:tcPr>
            <w:tcW w:type="dxa" w:w="4320"/>
          </w:tcPr>
          <w:p>
            <w:r>
              <w:rPr>
                <w:sz w:val="18"/>
              </w:rPr>
              <w:t>$53,000.00</w:t>
            </w:r>
          </w:p>
        </w:tc>
      </w:tr>
      <w:tr>
        <w:tc>
          <w:tcPr>
            <w:tcW w:type="dxa" w:w="4320"/>
          </w:tcPr>
          <w:p>
            <w:r>
              <w:rPr>
                <w:sz w:val="18"/>
              </w:rPr>
              <w:t>Unquoted BASE ceiling at current airfare</w:t>
            </w:r>
          </w:p>
        </w:tc>
        <w:tc>
          <w:tcPr>
            <w:tcW w:type="dxa" w:w="4320"/>
          </w:tcPr>
          <w:p>
            <w:r>
              <w:rPr>
                <w:sz w:val="18"/>
              </w:rPr>
              <w:t>$15,056.03</w:t>
            </w:r>
          </w:p>
        </w:tc>
      </w:tr>
      <w:tr>
        <w:tc>
          <w:tcPr>
            <w:tcW w:type="dxa" w:w="4320"/>
          </w:tcPr>
          <w:p>
            <w:r>
              <w:rPr>
                <w:sz w:val="18"/>
              </w:rPr>
              <w:t>Unquoted BASE ceiling after +20% airfare</w:t>
            </w:r>
          </w:p>
        </w:tc>
        <w:tc>
          <w:tcPr>
            <w:tcW w:type="dxa" w:w="4320"/>
          </w:tcPr>
          <w:p>
            <w:r>
              <w:rPr>
                <w:sz w:val="18"/>
              </w:rPr>
              <w:t>$13,563.23</w:t>
            </w:r>
          </w:p>
        </w:tc>
      </w:tr>
    </w:tbl>
    <w:p>
      <w:r>
        <w:t>Traveler net M&amp;IE is INSIDE the $53,000 budget, separate from agency catering purchases. At a $92 daily rate the baseline per-person sequence is $31, $66, $66, $28 and $43 (total $234); at $86 it is $28.50, $63, $63, $27 and $41.50 (total $223). First/last day is 75% before deducting complete government-furnished meals, with the incidental floor preserved. Hotel complimentary breakfast and light refreshments do not trigger deductions. Changing the November 29 government breakfast switch reduces that day by $23 or $22 and adds no purchase cost. Registration already includes three lunches, which are not purchased twice.</w:t>
      </w:r>
    </w:p>
    <w:p>
      <w:pPr>
        <w:pStyle w:val="Heading1"/>
      </w:pPr>
      <w:r>
        <w:t>4. Itinerary and airport basis</w:t>
      </w:r>
    </w:p>
    <w:p>
      <w:pPr>
        <w:spacing w:after="80" w:before="160"/>
      </w:pPr>
      <w:r>
        <w:t>Arrival November 28; return December 2. Four lodging nights cover all training dates November 29–December 1. Flight times use local airport time zones; no training-day flight is presumed compatible without an actual timing check.</w:t>
      </w:r>
    </w:p>
    <w:p>
      <w:pPr>
        <w:pStyle w:val="ListBullet"/>
        <w:spacing w:after="40"/>
      </w:pPr>
      <w:r>
        <w:t>Compare DCA/IAD/BWI from 1400 Independence Avenue SW using the workbook airport timing and cost comparison. Internal road-transfer allowances are $80/$160/$200 round trip per person respectively; they are not supplier quotes. Some flights precede Metro opening, so do not budget an unusable rail connection. These are a uniform planning basis, not actual residence-to-airport claims; residence, usual commute, receipts and authorization remain required (R-15).</w:t>
      </w:r>
    </w:p>
    <w:p>
      <w:pPr>
        <w:pStyle w:val="ListBullet"/>
        <w:spacing w:after="40"/>
      </w:pPr>
      <w:r>
        <w:t>Hotel-to-venue routing and venue capacity/dates remain execution conditions because the meeting address is unknown. Quote date changes require re-pricing; old-price recalculation is an estimate, not a newly executable quote.</w:t>
      </w:r>
    </w:p>
    <w:p>
      <w:pPr>
        <w:pStyle w:val="Heading1"/>
        <w:spacing w:after="40"/>
      </w:pPr>
      <w:r>
        <w:t>5. Airfare stress and switching boundaries</w:t>
      </w:r>
    </w:p>
    <w:p>
      <w:pPr>
        <w:spacing w:after="80" w:before="160"/>
      </w:pPr>
      <w:r>
        <w:t>Boston with the $311 flight is the current evidence-completion priority; the next recorded cost candidate uses the same Boston hotel with the original $358 American fare. Neither is a fully qualified recommendation. Their base-cost difference is $1,128.00 and airfare difference is $1,128.00: the $311 candidate is cheaper only if its additional unquoted base costs exceed the $358 candidate’s by no more than $1,128.00 × (1+p). Budget, quote applicability and every other recorded competitor must also be checked against the corrected workbook. Chicago $101 is not a valid breakfast offer; $158/$159 breakfast-included Embassy offers fail the December cap and must not define a switch.</w:t>
      </w:r>
    </w:p>
    <w:p>
      <w:pPr>
        <w:pStyle w:val="ListBullet"/>
        <w:spacing w:after="40"/>
      </w:pPr>
      <w:r>
        <w:t>For any candidate j, C_j(p,U_j)=(K_j+p A_j+U_j)(1+r). Here K_j is its current base subtotal, A_j its current adjusted whole-group airfare, p the additional increase (0–0.20), U_j its own additional unquoted base costs and r the reserve rate. Unknown costs are not set equal as a fact.</w:t>
      </w:r>
    </w:p>
    <w:p>
      <w:pPr>
        <w:pStyle w:val="ListBullet"/>
        <w:spacing w:after="40"/>
      </w:pPr>
      <w:r>
        <w:t>Compare each proposed winner against EVERY recorded eligible candidate at the same headcount and the budget boundary. Pairwise equality alone is not proof of a global optimum. Workbook boundary tables state the conditions and retain unresolved competitors.</w:t>
      </w:r>
    </w:p>
    <w:p>
      <w:pPr>
        <w:pStyle w:val="Heading1"/>
        <w:spacing w:after="40"/>
      </w:pPr>
      <w:r>
        <w:t>6. Unquoted-cost sensitivity and actions</w:t>
      </w:r>
    </w:p>
    <w:p>
      <w:pPr>
        <w:spacing w:after="40"/>
      </w:pPr>
      <w:r>
        <w:t>The additional unquoted BASE ceilings are Boston $311-flight/24 $15,056.03 at baseline / $13,563.23 at +20%, and next Boston $358-flight/24 $13,928.03 / $12,209.63. Negative results are kept: a negative ceiling means already over budget before buying any additional service. They are not spendable procurement amounts.</w:t>
      </w:r>
    </w:p>
    <w:p>
      <w:pPr>
        <w:spacing w:after="80" w:before="160"/>
      </w:pPr>
      <w:r>
        <w:t>Keep the priority only within its stated budget, quality and competitor inequalities; otherwise compare every eligible 24-person combination, then all eligible 18-person combinations. If none meet the ceiling and evidence conditions, output no feasible/qualified option and escalate. No unknown venue, inventory or quality condition is presented as already secured.</w:t>
      </w:r>
    </w:p>
    <w:p>
      <w:pPr>
        <w:pStyle w:val="Heading1"/>
        <w:spacing w:after="60"/>
      </w:pPr>
      <w:r>
        <w:t>7. Historical per-diem contrast (FY2025/FY2026/FY2027)</w:t>
      </w:r>
    </w:p>
    <w:p>
      <w:pPr>
        <w:spacing w:after="80" w:before="160"/>
      </w:pPr>
      <w:r>
        <w:t>FY2027 applies to the actual November–December 2026 trip. FY2025 and FY2026 are controlled counterfactuals: preserve headcount, month/day structure, market price and other assumptions. These are not past market quotes or authority for actual reimbursement.</w:t>
      </w:r>
    </w:p>
    <w:p>
      <w:pPr>
        <w:pStyle w:val="ListBullet"/>
        <w:spacing w:after="40"/>
      </w:pPr>
      <w:r>
        <w:t>Historical analysis covers five cities × two headcounts × two historical fiscal years. The workbook separates unchanged market room cost, changed lodging-eligibility constraints and recalculated M&amp;IE; zero deltas require a calculation. Never trim an over-cap quote to the cap and call it bookable.</w:t>
      </w:r>
    </w:p>
    <w:p>
      <w:pPr>
        <w:pStyle w:val="ListBullet"/>
        <w:spacing w:after="40"/>
      </w:pPr>
      <w:r>
        <w:t>Historical cap failures exclude that hypothetical combination absent authorization; they do not reduce the real quoted room bill. Re-rank the remaining eligible combinations rather than claiming that a zero nominal cost delta means compliance cannot affect selection.</w:t>
      </w:r>
    </w:p>
    <w:p>
      <w:pPr>
        <w:pStyle w:val="Heading1"/>
        <w:spacing w:after="40"/>
      </w:pPr>
      <w:r>
        <w:t>8. Conditions before approval (approval_register.csv)</w:t>
      </w:r>
    </w:p>
    <w:p>
      <w:pPr>
        <w:spacing w:after="80" w:before="160"/>
      </w:pPr>
      <w:r>
        <w:t>R-01/R-02: venue location, dated capacity, itemized procurement quote and the required single-room block, breakfast, tax/mandatory charges and cancellation conditions.</w:t>
      </w:r>
    </w:p>
    <w:p>
      <w:pPr>
        <w:pStyle w:val="ListBullet"/>
        <w:spacing w:after="40"/>
      </w:pPr>
      <w:r>
        <w:t>R-03/R-06/R-15/R-19: ticket terms and group inventory, fire-safe accommodation verification, individual transport authorization and complete hotel-quality evidence.</w:t>
      </w:r>
    </w:p>
    <w:p>
      <w:pPr>
        <w:pStyle w:val="ListBullet"/>
        <w:spacing w:after="40"/>
      </w:pPr>
      <w:r>
        <w:t>R-04/R-16/R-17/R-18: program owner must supply course objectives, measurable outcomes, documented RD mission linkage, the distinct necessity of 18 and 24 people and remote-alternative evidence. No course, mandatory lab or staffing model is invented.</w:t>
      </w:r>
    </w:p>
    <w:p>
      <w:pPr>
        <w:pStyle w:val="ListBullet"/>
        <w:spacing w:after="40"/>
      </w:pPr>
      <w:r>
        <w:t>R-05/R-07/R-12/R-21: funds, competition/contracting and applicable approvals remain pending. RD Instruction 2036-A (effective July 19, 2024), section 2036.74, requires OCFO advance approval above $20,000 agency cost. The old template's $7,000 OCFO / $20,000 OIG / HR933 labels are not independently established as current thresholds; their applicability is marked pending, not inferred from box labels.</w:t>
      </w:r>
    </w:p>
    <w:p>
      <w:pPr>
        <w:pStyle w:val="Heading1"/>
        <w:spacing w:after="40"/>
      </w:pPr>
      <w:r>
        <w:t>9. Status of estimates and attachments</w:t>
      </w:r>
    </w:p>
    <w:p>
      <w:pPr>
        <w:spacing w:after="80" w:before="160"/>
      </w:pPr>
      <w:r>
        <w:t>Quoted public ticket/room figures, supplied registration and policy rates, internal planning estimates and additional unquoted costs are distinguished in the workbook. The 12% lodging tax is the exercise assumption, not a statement of local law. Meal/refreshment allowances are internal estimates, not supplier quotes; registration-included lunches are not purchased again.</w:t>
      </w:r>
    </w:p>
    <w:p>
      <w:pPr>
        <w:spacing w:after="60"/>
      </w:pPr>
      <w:r>
        <w:t>Agenda: not supplied, R-08/R-16. Location Cost Estimate: present budget comparison in Options / Daily; final venue quotation and procurement-ready location sheet pending R-01. Attendee Cost Detail: group and per-person cost bases are available, but named individual roster, actual residence/transport and authorized personal amounts remain pending R-11; group totals are not a completed individual attachment.</w:t>
      </w:r>
    </w:p>
    <w:p>
      <w:pPr>
        <w:spacing w:after="60"/>
      </w:pPr>
      <w:r>
        <w:t>Snapshot notice: Word/CSV/PPT/PDF are static snapshots of the current workbook. After any budget, reserve, airfare, breakfast, unknown-cost or date change, re-check calculations and quote applicability and re-export all four snapshot files.</w:t>
      </w:r>
    </w:p>
    <w:p>
      <w:pP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