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845B96">
      <w:r>
        <w:rPr>
          <w:lang w:val="ru-RU"/>
        </w:rPr>
        <w:t>Ф</w:t>
      </w:r>
      <w:r>
        <w:t>орма обучения по программе</w:t>
      </w:r>
      <w:r>
        <w:rPr>
          <w:rFonts w:hint="default"/>
          <w:lang w:val="ru-RU"/>
        </w:rPr>
        <w:t xml:space="preserve"> -</w:t>
      </w:r>
      <w:r>
        <w:t xml:space="preserve"> Очно-заочная форма обучения, смешанный очно-дистанционный формат.</w:t>
      </w:r>
    </w:p>
    <w:p w14:paraId="6FFAE221"/>
    <w:p w14:paraId="4C08BB78">
      <w:r>
        <w:rPr>
          <w:lang w:val="ru-RU"/>
        </w:rPr>
        <w:t>Описание</w:t>
      </w:r>
      <w:r>
        <w:rPr>
          <w:rFonts w:hint="default"/>
          <w:lang w:val="ru-RU"/>
        </w:rPr>
        <w:t xml:space="preserve"> программы:</w:t>
      </w:r>
      <w:r>
        <w:t xml:space="preserve"> Единственная в ВАВТ программа, реализуемая в формате бизнес-магистратуры. Ориентирована на менеджеров среднего и высшего звена, желающих получить и расширить управленческие знания и навыки делового администрирования</w:t>
      </w:r>
      <w:r>
        <w:rPr>
          <w:rFonts w:hint="default"/>
          <w:lang w:val="ru-RU"/>
        </w:rPr>
        <w:t xml:space="preserve">. </w:t>
      </w:r>
      <w:r>
        <w:t>Программа сочетает в себе лучшие черты программы «Мастер делового администрирования (MBA)» и магистратуры по направлению 38.04.02 Менеджмент.</w:t>
      </w:r>
      <w:r>
        <w:br w:type="textWrapping"/>
      </w:r>
      <w:r>
        <w:t>По окончании обучения слушатели получают два диплома: диплом магистра менеджмента и диплом о квалификации «Мастер делового администрирования – Master of Business Administration (MBA)»</w:t>
      </w:r>
      <w:r>
        <w:br w:type="textWrapping"/>
      </w:r>
      <w:r>
        <w:t>Занятия проводят лучшие преподаватели московских бизнес-школ. Обучение построено в формате, больше характерном для бизнес-образования: широкое использование активных форм обучения в сочетании с постоянным нетворкингом и обменом опытом между слушателями и преподавателям. Ключевая роль в процессе обучения отводится интерактивному подходу, тематическим дискуссиям и имитационным упражнениям, направленным на моделирование реальных ситуаций.</w:t>
      </w:r>
      <w:r>
        <w:br w:type="textWrapping"/>
      </w:r>
      <w:r>
        <w:t>Программа построена по модульному принципу. Каждый из пяти модулей программы рассматривает конкретный аспект ведения бизнеса: менеджмент, маркетинг и коммерция, HR, финансы, право. Каждый из модулей сопровождается изучением делового английского языка. После изучения всех модулей слушатель сможет анализировать все направления деятельности компании, принимать управленческие решения исходя из полной картины существующих возможностей развития и негативных факторов для компании</w:t>
      </w:r>
      <w:r>
        <w:br w:type="textWrapping"/>
      </w:r>
      <w:r>
        <w:t>Программа предусматривает изучение части дисциплин на английском языке, что позволяет подкрепить языковые навыки, полученные на занятиях по деловому английскому и чувствовать себя уверенно в англоязычной бизнес-среде.</w:t>
      </w:r>
      <w:r>
        <w:br w:type="textWrapping"/>
      </w:r>
      <w:r>
        <w:t>Выпускники программы являются управленцами самого широкого профиля, которые смогут работать на предприятиях и в организациях всех форм собственности и сферы деятельности, при этом обладающие знаниями о специфике управления процессами международной торговли и сотрудничества, а также знающие актуальные тренды и проблемы мирового рынка.</w:t>
      </w:r>
      <w:r>
        <w:br w:type="textWrapping"/>
      </w:r>
      <w:r>
        <w:t>График обучения сформирован таким образом, чтобы гибко встраиваться в рабочее расписание студента.</w:t>
      </w:r>
    </w:p>
    <w:p w14:paraId="40DB01A7"/>
    <w:p w14:paraId="7F62EAC6">
      <w:r>
        <w:rPr>
          <w:lang w:val="ru-RU"/>
        </w:rPr>
        <w:t>О</w:t>
      </w:r>
      <w:r>
        <w:t>бучение по программе</w:t>
      </w:r>
      <w:r>
        <w:rPr>
          <w:rFonts w:hint="default"/>
          <w:lang w:val="ru-RU"/>
        </w:rPr>
        <w:t xml:space="preserve"> </w:t>
      </w:r>
      <w:r>
        <w:t>длится 2,5 года.</w:t>
      </w:r>
    </w:p>
    <w:p w14:paraId="0F1DB1D0"/>
    <w:p w14:paraId="6F6368EB">
      <w:r>
        <w:rPr>
          <w:lang w:val="ru-RU"/>
        </w:rPr>
        <w:t>В</w:t>
      </w:r>
      <w:r>
        <w:t>ыпускники программы</w:t>
      </w:r>
      <w:r>
        <w:rPr>
          <w:rFonts w:hint="default"/>
          <w:lang w:val="ru-RU"/>
        </w:rPr>
        <w:t xml:space="preserve"> </w:t>
      </w:r>
      <w:r>
        <w:t xml:space="preserve">обладают </w:t>
      </w:r>
      <w:r>
        <w:rPr>
          <w:lang w:val="ru-RU"/>
        </w:rPr>
        <w:t>следующими</w:t>
      </w:r>
      <w:r>
        <w:rPr>
          <w:rFonts w:hint="default"/>
          <w:lang w:val="ru-RU"/>
        </w:rPr>
        <w:t xml:space="preserve"> навыками</w:t>
      </w:r>
      <w:r>
        <w:t>: Владеют навыками стратегическим мышлением, управления командами, управления изменениями, управления рисками, управления созданием инноваций, необходимыми современному руководителю;</w:t>
      </w:r>
      <w:r>
        <w:rPr>
          <w:rFonts w:hint="default"/>
          <w:lang w:val="ru-RU"/>
        </w:rPr>
        <w:t xml:space="preserve"> </w:t>
      </w:r>
      <w:r>
        <w:t>умеют находить и анализировать информацию о рынках, а также о состоянии внутренней среды организации и принимать управленческие решения;</w:t>
      </w:r>
      <w:r>
        <w:rPr>
          <w:rFonts w:hint="default"/>
          <w:lang w:val="ru-RU"/>
        </w:rPr>
        <w:t xml:space="preserve"> </w:t>
      </w:r>
      <w:r>
        <w:t>разбираются общих экономических и в специальных проблемах стран, регионов, международных организаций и объединений; могут руководить зарубежными и российскими компаниями; могут продолжить научно-исследовательскую деятельность в сфере управления; имеют возможность получить работу в органах государственной власти и общественных организациях.</w:t>
      </w:r>
    </w:p>
    <w:p w14:paraId="63773546"/>
    <w:p w14:paraId="0DFEE0ED">
      <w:r>
        <w:rPr>
          <w:lang w:val="ru-RU"/>
        </w:rPr>
        <w:t>Стоимость</w:t>
      </w:r>
      <w:r>
        <w:rPr>
          <w:rFonts w:hint="default"/>
          <w:lang w:val="ru-RU"/>
        </w:rPr>
        <w:t xml:space="preserve"> </w:t>
      </w:r>
      <w:r>
        <w:t>обучени</w:t>
      </w:r>
      <w:r>
        <w:rPr>
          <w:lang w:val="ru-RU"/>
        </w:rPr>
        <w:t>я</w:t>
      </w:r>
      <w:r>
        <w:t xml:space="preserve"> по программе</w:t>
      </w:r>
      <w:r>
        <w:rPr>
          <w:rFonts w:hint="default"/>
          <w:lang w:val="ru-RU"/>
        </w:rPr>
        <w:t xml:space="preserve"> составляет </w:t>
      </w:r>
      <w:r>
        <w:t>255 000 рублей в год.</w:t>
      </w:r>
    </w:p>
    <w:p w14:paraId="46DD198B">
      <w:pPr>
        <w:rPr>
          <w:lang w:val="ru-RU"/>
        </w:rPr>
      </w:pPr>
    </w:p>
    <w:p w14:paraId="07604C07">
      <w:r>
        <w:rPr>
          <w:lang w:val="ru-RU"/>
        </w:rPr>
        <w:t>П</w:t>
      </w:r>
      <w:r>
        <w:t>о программе</w:t>
      </w:r>
      <w:r>
        <w:rPr>
          <w:rFonts w:hint="default"/>
          <w:lang w:val="ru-RU"/>
        </w:rPr>
        <w:t xml:space="preserve"> есть</w:t>
      </w:r>
      <w:r>
        <w:t xml:space="preserve"> 25 мест с оплатой обучения.</w:t>
      </w:r>
    </w:p>
    <w:p w14:paraId="61B52446"/>
    <w:p w14:paraId="1B693746">
      <w:r>
        <w:rPr>
          <w:lang w:val="ru-RU"/>
        </w:rPr>
        <w:t>В</w:t>
      </w:r>
      <w:r>
        <w:t xml:space="preserve"> учебный план</w:t>
      </w:r>
      <w:r>
        <w:rPr>
          <w:rFonts w:hint="default"/>
          <w:lang w:val="ru-RU"/>
        </w:rPr>
        <w:t xml:space="preserve"> </w:t>
      </w:r>
      <w:r>
        <w:t xml:space="preserve">включены </w:t>
      </w:r>
      <w:r>
        <w:rPr>
          <w:lang w:val="ru-RU"/>
        </w:rPr>
        <w:t>следующие</w:t>
      </w:r>
      <w:r>
        <w:rPr>
          <w:rFonts w:hint="default"/>
          <w:lang w:val="ru-RU"/>
        </w:rPr>
        <w:t xml:space="preserve"> </w:t>
      </w:r>
      <w:r>
        <w:t>программы: • Количественные методы в экономике и управлении (I семестр)</w:t>
      </w:r>
      <w:r>
        <w:br w:type="textWrapping"/>
      </w:r>
      <w:r>
        <w:t>• Микроэкономика (I семестр)</w:t>
      </w:r>
      <w:r>
        <w:br w:type="textWrapping"/>
      </w:r>
      <w:r>
        <w:t>• Командообразование (I семестр)</w:t>
      </w:r>
      <w:r>
        <w:br w:type="textWrapping"/>
      </w:r>
      <w:r>
        <w:t>• Макроэкономика (II семестр)</w:t>
      </w:r>
      <w:r>
        <w:br w:type="textWrapping"/>
      </w:r>
      <w:r>
        <w:t>• Методы исследований в менеджменте (II семестр)</w:t>
      </w:r>
      <w:r>
        <w:br w:type="textWrapping"/>
      </w:r>
      <w:r>
        <w:t>• Оценка стоимости бизнеса (II семестр)</w:t>
      </w:r>
      <w:r>
        <w:br w:type="textWrapping"/>
      </w:r>
      <w:r>
        <w:t>• Стратегическое инвестиционное планирование (бизнес-план) и оценка эффективности проектов (II семестр)</w:t>
      </w:r>
      <w:r>
        <w:br w:type="textWrapping"/>
      </w:r>
      <w:r>
        <w:t>• Дизайн-мышление в международном бизнесе (II семестр)</w:t>
      </w:r>
      <w:r>
        <w:br w:type="textWrapping"/>
      </w:r>
      <w:r>
        <w:t>• Организация и техника внешнеэкономической деятельности (II семестр)</w:t>
      </w:r>
      <w:r>
        <w:br w:type="textWrapping"/>
      </w:r>
      <w:r>
        <w:t>• Лидерство и корпоративная культура: моделирование и дизайн, ДНК лидера и команд (II семестр)</w:t>
      </w:r>
      <w:r>
        <w:br w:type="textWrapping"/>
      </w:r>
      <w:r>
        <w:t>• Иностранный язык (I - II семестр)</w:t>
      </w:r>
      <w:r>
        <w:br w:type="textWrapping"/>
      </w:r>
      <w:r>
        <w:t>• Иностранный язык (профессиональный) (I - II семестр)</w:t>
      </w:r>
      <w:r>
        <w:br w:type="textWrapping"/>
      </w:r>
      <w:r>
        <w:t>• Финансовый менеджмент (III семестр)</w:t>
      </w:r>
      <w:r>
        <w:br w:type="textWrapping"/>
      </w:r>
      <w:r>
        <w:t>• Внешнеторговая транспортная логистика (III семестр)</w:t>
      </w:r>
      <w:r>
        <w:br w:type="textWrapping"/>
      </w:r>
      <w:r>
        <w:t>• Бизнес-коммуникации: публичные выступления и презентации (III семестр)</w:t>
      </w:r>
      <w:r>
        <w:br w:type="textWrapping"/>
      </w:r>
      <w:r>
        <w:t>• Управление проектами (III семестр)</w:t>
      </w:r>
      <w:r>
        <w:br w:type="textWrapping"/>
      </w:r>
      <w:r>
        <w:t>• Современные инструменты управления персоналом (III семестр)</w:t>
      </w:r>
      <w:r>
        <w:br w:type="textWrapping"/>
      </w:r>
      <w:r>
        <w:t>• Методики выбора конкурентоспособного и лидерского направления развития компании (IV семестр)</w:t>
      </w:r>
      <w:r>
        <w:br w:type="textWrapping"/>
      </w:r>
      <w:r>
        <w:t>• Диагностика состояния компании и разработка стратегии развития (IV семестр)</w:t>
      </w:r>
      <w:r>
        <w:br w:type="textWrapping"/>
      </w:r>
      <w:r>
        <w:t>• Стратегические маркетинговые решения (IV семестр)</w:t>
      </w:r>
      <w:r>
        <w:br w:type="textWrapping"/>
      </w:r>
      <w:r>
        <w:t>• Деловая игра "Разработка инвестиционной программы развития бизнеса" (IV семестр)</w:t>
      </w:r>
      <w:r>
        <w:br w:type="textWrapping"/>
      </w:r>
      <w:r>
        <w:t>• Управление изменениями во внешнеторговой компании (IV семестр)</w:t>
      </w:r>
      <w:r>
        <w:br w:type="textWrapping"/>
      </w:r>
      <w:r>
        <w:t>• Communication Challenges in Life and Business (IV семестр)</w:t>
      </w:r>
      <w:r>
        <w:br w:type="textWrapping"/>
      </w:r>
      <w:r>
        <w:t>• Управление карьерой (IV семестр)</w:t>
      </w:r>
      <w:r>
        <w:br w:type="textWrapping"/>
      </w:r>
      <w:r>
        <w:t>• Иностранный язык (III - IV семестр)</w:t>
      </w:r>
      <w:r>
        <w:br w:type="textWrapping"/>
      </w:r>
      <w:r>
        <w:t>• Иностранный язык (профессиональный) (III - IV семестр)</w:t>
      </w:r>
      <w:r>
        <w:br w:type="textWrapping"/>
      </w:r>
      <w:r>
        <w:t>• Иностранный язык (V семестр)</w:t>
      </w:r>
      <w:r>
        <w:br w:type="textWrapping"/>
      </w:r>
    </w:p>
    <w:p w14:paraId="73613B1D">
      <w:r>
        <w:t>На программу МВА как правило поступают лиц в возрасте от 25 до 50 лет, но в целом возрастных ограничений не установлено. Главное, чтобы слушатели имели не менее чем двухлетний опыт профессиональной деятельности.</w:t>
      </w:r>
      <w:r>
        <w:br w:type="textWrapping"/>
      </w:r>
    </w:p>
    <w:p w14:paraId="1593840B">
      <w:r>
        <w:rPr>
          <w:lang w:val="ru-RU"/>
        </w:rPr>
        <w:t>В</w:t>
      </w:r>
      <w:r>
        <w:t xml:space="preserve"> Академи</w:t>
      </w:r>
      <w:r>
        <w:rPr>
          <w:lang w:val="ru-RU"/>
        </w:rPr>
        <w:t>и</w:t>
      </w:r>
      <w:r>
        <w:t xml:space="preserve"> работает клуб выпускников, в рамках которого проводится открытые бесплатные мероприятия, такие как мастер-классы встречи круглые столы обсуждение лучших практик, хакатоны.</w:t>
      </w:r>
    </w:p>
    <w:p w14:paraId="7C937278">
      <w:r>
        <w:br w:type="textWrapping"/>
      </w:r>
      <w:bookmarkStart w:id="0" w:name="_GoBack"/>
      <w:bookmarkEnd w:id="0"/>
      <w:r>
        <w:rPr>
          <w:lang w:val="ru-RU"/>
        </w:rPr>
        <w:t>К</w:t>
      </w:r>
      <w:r>
        <w:t>арьерные перспективы после окончания программы: Выпускники программы МВА работают в красных российских и международных компаниях, таких как:</w:t>
      </w:r>
      <w:r>
        <w:br w:type="textWrapping"/>
      </w:r>
      <w:r>
        <w:t>Государственная корпорация «Ростех», АО «Северсталь Менеджмент», Хитачи Констракшн Машинери Евразия, АО ИК Атомстройэкспорт, ПАО «Абрау – Дюрсо», ООО «Пермский завод промоборудования», Торговое представительство Российской Федерации в Федеративной республике Германия, ООО «Эвоник Химия», ПАО «Квадра-генерирующая компания, ООО «Рокос», ООО «Платинум», ООО «Синтра-трейдинг-М», ООО «ПРАМО», ЗАО «ИНТЕРКОНСУЛ», Lash and Brow, Агентство Germany Trade &amp; Invest, Международный коммерческий арбитражный суд при ТПП РФ (МКАС), ООО «Главная линия», Внешэкономбанк, ООО «Союзоптторг», ООО «Омникомм Экспорт», Филиал Корпорации «Гео Тренд Корпорейшн», DTO TRADING Limited, ООО «Глобалконсалт», ООО УК «МОСВОДОКАНАЛ», ООО ПРОДИМЕКС, ПАО ТМК, Торговое представительство Республики Казахстан в Российской Федерации, ООО «ИНТЕР РАО- экспорт», ПАО «МОЭСК», Фонд Управления целевым капиталом «Школа ЛЕТОВО», ООО Индустрия, Экспертно-правовое партнерство «Максимум» (ООО), Стокманн, ТД ПромЭл , ООО ИнжКомПроект.</w:t>
      </w:r>
    </w:p>
    <w:p w14:paraId="69C78FA0">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8"/>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8"/>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4"/>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7"/>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FCE4EF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Strong"/>
    <w:basedOn w:val="11"/>
    <w:qFormat/>
    <w:uiPriority w:val="22"/>
    <w:rPr>
      <w:b/>
      <w:bCs/>
    </w:rPr>
  </w:style>
  <w:style w:type="paragraph" w:styleId="15">
    <w:name w:val="List Continue"/>
    <w:basedOn w:val="1"/>
    <w:unhideWhenUsed/>
    <w:uiPriority w:val="99"/>
    <w:pPr>
      <w:spacing w:after="120"/>
      <w:ind w:left="360"/>
      <w:contextualSpacing/>
    </w:pPr>
  </w:style>
  <w:style w:type="paragraph" w:styleId="16">
    <w:name w:val="Body Text 2"/>
    <w:basedOn w:val="1"/>
    <w:link w:val="47"/>
    <w:unhideWhenUsed/>
    <w:uiPriority w:val="99"/>
    <w:pPr>
      <w:spacing w:after="120" w:line="480" w:lineRule="auto"/>
    </w:pPr>
  </w:style>
  <w:style w:type="paragraph" w:styleId="17">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8">
    <w:name w:val="List Number 3"/>
    <w:basedOn w:val="1"/>
    <w:unhideWhenUsed/>
    <w:uiPriority w:val="99"/>
    <w:pPr>
      <w:numPr>
        <w:ilvl w:val="0"/>
        <w:numId w:val="1"/>
      </w:numPr>
      <w:contextualSpacing/>
    </w:pPr>
  </w:style>
  <w:style w:type="paragraph" w:styleId="19">
    <w:name w:val="header"/>
    <w:basedOn w:val="1"/>
    <w:link w:val="37"/>
    <w:unhideWhenUsed/>
    <w:uiPriority w:val="99"/>
    <w:pPr>
      <w:tabs>
        <w:tab w:val="center" w:pos="4680"/>
        <w:tab w:val="right" w:pos="9360"/>
      </w:tabs>
      <w:spacing w:after="0" w:line="240" w:lineRule="auto"/>
    </w:pPr>
  </w:style>
  <w:style w:type="paragraph" w:styleId="20">
    <w:name w:val="Body Text"/>
    <w:basedOn w:val="1"/>
    <w:link w:val="46"/>
    <w:unhideWhenUsed/>
    <w:uiPriority w:val="99"/>
    <w:pPr>
      <w:spacing w:after="120"/>
    </w:pPr>
  </w:style>
  <w:style w:type="paragraph" w:styleId="21">
    <w:name w:val="macro"/>
    <w:link w:val="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2">
    <w:name w:val="List Bullet"/>
    <w:basedOn w:val="1"/>
    <w:unhideWhenUsed/>
    <w:uiPriority w:val="99"/>
    <w:pPr>
      <w:numPr>
        <w:ilvl w:val="0"/>
        <w:numId w:val="2"/>
      </w:numPr>
      <w:contextualSpacing/>
    </w:pPr>
  </w:style>
  <w:style w:type="paragraph" w:styleId="23">
    <w:name w:val="List Bullet 2"/>
    <w:basedOn w:val="1"/>
    <w:unhideWhenUsed/>
    <w:uiPriority w:val="99"/>
    <w:pPr>
      <w:numPr>
        <w:ilvl w:val="0"/>
        <w:numId w:val="3"/>
      </w:numPr>
      <w:contextualSpacing/>
    </w:pPr>
  </w:style>
  <w:style w:type="paragraph" w:styleId="24">
    <w:name w:val="List Bullet 3"/>
    <w:basedOn w:val="1"/>
    <w:unhideWhenUsed/>
    <w:uiPriority w:val="99"/>
    <w:pPr>
      <w:numPr>
        <w:ilvl w:val="0"/>
        <w:numId w:val="4"/>
      </w:numPr>
      <w:contextualSpacing/>
    </w:pPr>
  </w:style>
  <w:style w:type="paragraph" w:styleId="25">
    <w:name w:val="Title"/>
    <w:basedOn w:val="1"/>
    <w:next w:val="1"/>
    <w:link w:val="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6">
    <w:name w:val="footer"/>
    <w:basedOn w:val="1"/>
    <w:link w:val="38"/>
    <w:unhideWhenUsed/>
    <w:uiPriority w:val="99"/>
    <w:pPr>
      <w:tabs>
        <w:tab w:val="center" w:pos="4680"/>
        <w:tab w:val="right" w:pos="9360"/>
      </w:tabs>
      <w:spacing w:after="0" w:line="240" w:lineRule="auto"/>
    </w:pPr>
  </w:style>
  <w:style w:type="paragraph" w:styleId="27">
    <w:name w:val="List Number"/>
    <w:basedOn w:val="1"/>
    <w:unhideWhenUsed/>
    <w:uiPriority w:val="99"/>
    <w:pPr>
      <w:numPr>
        <w:ilvl w:val="0"/>
        <w:numId w:val="5"/>
      </w:numPr>
      <w:contextualSpacing/>
    </w:pPr>
  </w:style>
  <w:style w:type="paragraph" w:styleId="28">
    <w:name w:val="List Number 2"/>
    <w:basedOn w:val="1"/>
    <w:unhideWhenUsed/>
    <w:uiPriority w:val="99"/>
    <w:pPr>
      <w:numPr>
        <w:ilvl w:val="0"/>
        <w:numId w:val="6"/>
      </w:numPr>
      <w:contextualSpacing/>
    </w:pPr>
  </w:style>
  <w:style w:type="paragraph" w:styleId="29">
    <w:name w:val="List"/>
    <w:basedOn w:val="1"/>
    <w:unhideWhenUsed/>
    <w:uiPriority w:val="99"/>
    <w:pPr>
      <w:ind w:left="360" w:hanging="360"/>
      <w:contextualSpacing/>
    </w:pPr>
  </w:style>
  <w:style w:type="paragraph" w:styleId="30">
    <w:name w:val="Body Text 3"/>
    <w:basedOn w:val="1"/>
    <w:link w:val="48"/>
    <w:unhideWhenUsed/>
    <w:uiPriority w:val="99"/>
    <w:pPr>
      <w:spacing w:after="120"/>
    </w:pPr>
    <w:rPr>
      <w:sz w:val="16"/>
      <w:szCs w:val="16"/>
    </w:rPr>
  </w:style>
  <w:style w:type="paragraph" w:styleId="31">
    <w:name w:val="Subtitle"/>
    <w:basedOn w:val="1"/>
    <w:next w:val="1"/>
    <w:link w:val="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2">
    <w:name w:val="List Continue 2"/>
    <w:basedOn w:val="1"/>
    <w:unhideWhenUsed/>
    <w:uiPriority w:val="99"/>
    <w:pPr>
      <w:spacing w:after="120"/>
      <w:ind w:left="720"/>
      <w:contextualSpacing/>
    </w:pPr>
  </w:style>
  <w:style w:type="paragraph" w:styleId="33">
    <w:name w:val="List Continue 3"/>
    <w:basedOn w:val="1"/>
    <w:unhideWhenUsed/>
    <w:uiPriority w:val="99"/>
    <w:pPr>
      <w:spacing w:after="120"/>
      <w:ind w:left="1080"/>
      <w:contextualSpacing/>
    </w:pPr>
  </w:style>
  <w:style w:type="paragraph" w:styleId="34">
    <w:name w:val="List 2"/>
    <w:basedOn w:val="1"/>
    <w:unhideWhenUsed/>
    <w:uiPriority w:val="99"/>
    <w:pPr>
      <w:ind w:left="720" w:hanging="360"/>
      <w:contextualSpacing/>
    </w:pPr>
  </w:style>
  <w:style w:type="paragraph" w:styleId="35">
    <w:name w:val="List 3"/>
    <w:basedOn w:val="1"/>
    <w:unhideWhenUsed/>
    <w:uiPriority w:val="99"/>
    <w:pPr>
      <w:ind w:left="1080" w:hanging="360"/>
      <w:contextualSpacing/>
    </w:p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7">
    <w:name w:val="Header Char"/>
    <w:basedOn w:val="11"/>
    <w:link w:val="19"/>
    <w:uiPriority w:val="99"/>
  </w:style>
  <w:style w:type="character" w:customStyle="1" w:styleId="38">
    <w:name w:val="Footer Char"/>
    <w:basedOn w:val="11"/>
    <w:link w:val="26"/>
    <w:uiPriority w:val="99"/>
  </w:style>
  <w:style w:type="paragraph" w:styleId="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3">
    <w:name w:val="Title Char"/>
    <w:basedOn w:val="11"/>
    <w:link w:val="25"/>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4">
    <w:name w:val="Subtitle Char"/>
    <w:basedOn w:val="11"/>
    <w:link w:val="31"/>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5">
    <w:name w:val="List Paragraph"/>
    <w:basedOn w:val="1"/>
    <w:qFormat/>
    <w:uiPriority w:val="34"/>
    <w:pPr>
      <w:ind w:left="720"/>
      <w:contextualSpacing/>
    </w:pPr>
  </w:style>
  <w:style w:type="character" w:customStyle="1" w:styleId="46">
    <w:name w:val="Body Text Char"/>
    <w:basedOn w:val="11"/>
    <w:link w:val="20"/>
    <w:uiPriority w:val="99"/>
  </w:style>
  <w:style w:type="character" w:customStyle="1" w:styleId="47">
    <w:name w:val="Body Text 2 Char"/>
    <w:basedOn w:val="11"/>
    <w:link w:val="16"/>
    <w:uiPriority w:val="99"/>
  </w:style>
  <w:style w:type="character" w:customStyle="1" w:styleId="48">
    <w:name w:val="Body Text 3 Char"/>
    <w:basedOn w:val="11"/>
    <w:link w:val="30"/>
    <w:uiPriority w:val="99"/>
    <w:rPr>
      <w:sz w:val="16"/>
      <w:szCs w:val="16"/>
    </w:rPr>
  </w:style>
  <w:style w:type="character" w:customStyle="1" w:styleId="49">
    <w:name w:val="Macro Text Char"/>
    <w:basedOn w:val="11"/>
    <w:link w:val="21"/>
    <w:uiPriority w:val="99"/>
    <w:rPr>
      <w:rFonts w:ascii="Courier" w:hAnsi="Courier"/>
      <w:sz w:val="20"/>
      <w:szCs w:val="20"/>
    </w:rPr>
  </w:style>
  <w:style w:type="paragraph" w:styleId="50">
    <w:name w:val="Quote"/>
    <w:basedOn w:val="1"/>
    <w:next w:val="1"/>
    <w:link w:val="51"/>
    <w:qFormat/>
    <w:uiPriority w:val="29"/>
    <w:rPr>
      <w:i/>
      <w:iCs/>
      <w:color w:val="000000" w:themeColor="text1"/>
      <w14:textFill>
        <w14:solidFill>
          <w14:schemeClr w14:val="tx1"/>
        </w14:solidFill>
      </w14:textFill>
    </w:rPr>
  </w:style>
  <w:style w:type="character" w:customStyle="1" w:styleId="51">
    <w:name w:val="Quote Char"/>
    <w:basedOn w:val="11"/>
    <w:link w:val="50"/>
    <w:uiPriority w:val="29"/>
    <w:rPr>
      <w:i/>
      <w:iCs/>
      <w:color w:val="000000" w:themeColor="text1"/>
      <w14:textFill>
        <w14:solidFill>
          <w14:schemeClr w14:val="tx1"/>
        </w14:solidFill>
      </w14:textFill>
    </w:rPr>
  </w:style>
  <w:style w:type="character" w:customStyle="1" w:styleId="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8">
    <w:name w:val="Intense Quote"/>
    <w:basedOn w:val="1"/>
    <w:next w:val="1"/>
    <w:link w:val="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9">
    <w:name w:val="Intense Quote Char"/>
    <w:basedOn w:val="11"/>
    <w:link w:val="58"/>
    <w:uiPriority w:val="30"/>
    <w:rPr>
      <w:b/>
      <w:bCs/>
      <w:i/>
      <w:iCs/>
      <w:color w:val="4F81BD" w:themeColor="accent1"/>
      <w14:textFill>
        <w14:solidFill>
          <w14:schemeClr w14:val="accent1"/>
        </w14:solidFill>
      </w14:textFill>
    </w:rPr>
  </w:style>
  <w:style w:type="character" w:customStyle="1" w:styleId="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1">
    <w:name w:val="Intense Emphasis"/>
    <w:basedOn w:val="11"/>
    <w:qFormat/>
    <w:uiPriority w:val="21"/>
    <w:rPr>
      <w:b/>
      <w:bCs/>
      <w:i/>
      <w:iCs/>
      <w:color w:val="4F81BD" w:themeColor="accent1"/>
      <w14:textFill>
        <w14:solidFill>
          <w14:schemeClr w14:val="accent1"/>
        </w14:solidFill>
      </w14:textFill>
    </w:rPr>
  </w:style>
  <w:style w:type="character" w:customStyle="1" w:styleId="62">
    <w:name w:val="Subtle Reference"/>
    <w:basedOn w:val="11"/>
    <w:qFormat/>
    <w:uiPriority w:val="31"/>
    <w:rPr>
      <w:smallCaps/>
      <w:color w:val="C0504D" w:themeColor="accent2"/>
      <w:u w:val="single"/>
      <w14:textFill>
        <w14:solidFill>
          <w14:schemeClr w14:val="accent2"/>
        </w14:solidFill>
      </w14:textFill>
    </w:rPr>
  </w:style>
  <w:style w:type="character" w:customStyle="1" w:styleId="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4">
    <w:name w:val="Book Title"/>
    <w:basedOn w:val="11"/>
    <w:qFormat/>
    <w:uiPriority w:val="33"/>
    <w:rPr>
      <w:b/>
      <w:bCs/>
      <w:smallCaps/>
      <w:spacing w:val="5"/>
    </w:rPr>
  </w:style>
  <w:style w:type="paragraph" w:customStyle="1" w:styleId="65">
    <w:name w:val="TOC Heading"/>
    <w:basedOn w:val="2"/>
    <w:next w:val="1"/>
    <w:semiHidden/>
    <w:unhideWhenUsed/>
    <w:qFormat/>
    <w:uiPriority w:val="39"/>
    <w:pPr>
      <w:outlineLvl w:val="9"/>
    </w:pPr>
  </w:style>
  <w:style w:type="table" w:styleId="66">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Юрий Чурсин</cp:lastModifiedBy>
  <dcterms:modified xsi:type="dcterms:W3CDTF">2024-09-18T13:23:36Z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51E1546DF4234F1881DFD443B60EAEC5_12</vt:lpwstr>
  </property>
</Properties>
</file>