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rPr>
          <w:rFonts w:ascii="Microsoft YaHei" w:cs="Microsoft YaHei" w:eastAsia="Microsoft YaHei" w:hAnsi="Microsoft YaHei"/>
          <w:b/>
          <w:bCs/>
          <w:color w:val="111827"/>
          <w:sz w:val="34"/>
          <w:szCs w:val="34"/>
        </w:rPr>
        <w:t xml:space="preserve">P1-R01-方案分析报告（V1.3）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一、方案总览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1.1 架构图（类型对比 · 功能架构）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5438775"/>
            <wp:effectExtent t="0" r="0" b="0" l="0"/>
            <wp:docPr id="1" name="系统类型架构对比图" descr="系统类型架构对比图" title="系统类型架构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图 1：「方案A 轻量管道派 / 方案B 全流程派 / 方案C 投资部需求」三线并列，统一按「募/投/管/退 + 支撑」分段命名；箭头表示段位自上而下流转（募→投→管→退），绿色箭头为放弃分支（投段 → 不投原因记录），虚线短接为支撑层挂接；相同功能同色（募紫、管道蓝、投后橙、清算红、支撑灰），不投原因分类记录为投资部独有（绿色高亮），虚线框为该段缺失/待确认（文字置灰、保留段位底色）；高清原文件 </w:t>
      </w:r>
      <w:r>
        <w:rPr>
          <w:rFonts w:ascii="Microsoft YaHei" w:cs="Microsoft YaHei" w:eastAsia="Microsoft YaHei" w:hAnsi="Microsoft YaHei"/>
          <w:color w:val="2563EB"/>
          <w:sz w:val="19"/>
          <w:szCs w:val="19"/>
        </w:rPr>
        <w:t xml:space="preserve">`P1-F01-类型架构对比图.html`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（浏览器打开可缩放查看）。</w:t>
      </w:r>
    </w:p>
    <w:p>
      <w:pPr>
        <w:spacing w:after="120" w:before="120"/>
        <w:jc w:val="center"/>
      </w:pPr>
      <w:r>
        <w:drawing>
          <wp:inline distT="0" distB="0" distL="0" distR="0">
            <wp:extent cx="5514975" cy="8191500"/>
            <wp:effectExtent t="0" r="0" b="0" l="0"/>
            <wp:docPr id="1" name="投资部需求功能架构图" descr="投资部需求功能架构图" title="投资部需求功能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图 2（结论性核心内容）：按「用户层 → 应用功能层（募投管退段位）→ 支撑层 → 平台与集成」四层细化的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功能架构与全量系统菜单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（对应附件4 的 29 个功能点，「」标注）——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黑字为 V1.0 菜单，行尾 R 标签对应《P1-A02-原始需求记录》R1~R6；灰字（V2）为 V2.0 菜单（置灰）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；段位配色与图 1 一致，绿色为投资部独有的不投原因管理；原待确认项（Q7/Q10/Q11）已于 08-26 全部确认，图内标注随附件6 修订版更新。底部虚线边界为外部 AI 知识库系统（独立建设 · Q3，按其方案B 展开），两系统经 WorkBuddy 调用各自 MCP Server 实现接口级协同（见第六节）；高清原文件 </w:t>
      </w:r>
      <w:r>
        <w:rPr>
          <w:rFonts w:ascii="Microsoft YaHei" w:cs="Microsoft YaHei" w:eastAsia="Microsoft YaHei" w:hAnsi="Microsoft YaHei"/>
          <w:color w:val="2563EB"/>
          <w:sz w:val="19"/>
          <w:szCs w:val="19"/>
        </w:rPr>
        <w:t xml:space="preserve">`P1-F02-功能架构图.html`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（浏览器打开可缩放查看）。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1.2 方案速览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方案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构成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功能覆盖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上线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灵活度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成本模式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详细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轻量管道派（CRM 型）产品形态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仅「投」段 + 支撑；募/管/退缺失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快（开通即用）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低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—（不采购，仅架构参照）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 2.1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全流程派（Front-to-Back）系统形态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募投管退 + 支撑全覆盖；不投原因结构化需定制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中（项目制实施）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低~中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—（不采购，仅架构参照）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 2.2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按投资部需求组合自建（V2.0 深化扩展）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按需定义，不投原因结构化原生存续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慢（分期建设，V1.0 先跑通 17 功能点）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高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自建人天（待评估）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 2.3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经 Q2 确认：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不走第三方采购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——方案A/B 仅作功能架构参照（设计对标用），建设路线确定为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方案C（自建）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；成本只计自建人天（待开发团队评估），无需 RFP 询价。功能覆盖为基于附件1 功能核查的客观对照。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1.3 各方案下一步行动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方案A · 轻量管道派（架构参照）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不做厂商接触与采购动作（Q2 已确认不走采购）；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提炼其字段设计、漏斗视图、关系自动化捕捉等设计要点，供自建前段借鉴（见附件1 设计启示）。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方案B · 全流程派（架构参照）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不做厂商接触与采购动作（Q2 已确认不走采购）；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提炼其投后管理、基金清算/业绩核算等后段模块设计要点（蓝凌、璞华易投、恒生为契合度 Top3），供自建后段借鉴。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方案C · 投资部需求组合（建设路线）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Q5 已确认：不投原因采用「预置分类选项 + 自定义补充」，各节点原因实例已于 08-26 给出（附件2 5.2），预置分类清单待业务整理后落入数据模型；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Q7 已确认（08-26）：境内外 20+ 只基金、将持续新设，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单基金单项目为基准架构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（预留 1:N），数据模型可定稿；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按《P1-A04-功能清单对照表》V1.0 的 17 个功能点排期（08-26 确认项已全部并入），输出页面原型（待办：嘉怡与胡博对接细化功能菜单/字段定义/原型）；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独立系统建设（Q3 已确认），按私有化部署（Q2 已确认）输出技术方案与自建人天估算；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Q10/Q11 已确认（08-26）：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内置六节点在线审批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（可独立运行或嵌入简道云 OA「投资产业」板块）、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募段极简纳入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（LP 管理 + 资格认定）——V2.0 范围已按此修订（见 4.3 与附件4）。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1.4 核心事实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要点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建设方式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自建（方案C 路线），私有化部署，与 AI 知识库系统独立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；方案A/B 竞品仅作功能架构参照（Q2/Q3/Q9 已确认）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方案区分维度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系统类型 × 覆盖范围：轻量管道派（仅投段）/ 全流程派（募投管退全覆盖）/ 需求组合（投段取 CRM 形态 + 管退取全流程能力 + 独有空白点）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无单一产品覆盖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前半段（BP 建档 + 管道 + 时间戳）是 CRM 派标配，后半段（投后到基金清算）只有全流程派覆盖（附件1 执行摘要）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独有空白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不投原因分类记录（Pass Reason）为全市场空白（10 家全量档案核查）——方案C 的核心差异化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契合度基准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功能契合度 Top3（架构参照优先级）：蓝凌（高·全场最高）＞ 璞华易投（高）＞ VC800（中高）（附件1 第三章）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成本事实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成本仅计自建人天（待开发评估）；不走第三方采购，无需 RFP 询价（Q2 已确认）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1.5 报告信息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项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报告日期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2026-08-26（V1.3：Q7/Q10/Q11 经 08-26 投资部需求沟通会确认回填，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Q1~Q11 全部答复完毕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——阶段管道十→十二阶段（3.2 重绘，放弃节点 6→7）；Q7 基金维度定稿（20+ 基金、单基金单项目基准、预留 1:N）；Q10 对接边界定稿（不强制打通 + 内置六节点在线审批 + 嵌入简道云 OA）；Q11 募段极简纳入（LP 文字录入 + 资质材料 + 资格认定）；投后四项刚性功能与 V2 取舍（不做：财报自动收集/委派董事/尽调模板/LP 门户）；退出三段递进；材料逻辑包归档；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08-26 确认项全部并入 V1.0（11→17 功能点，V2.0 余 8 个）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；4.1 扩为九模块、4.3 重写、第八节回填、风险与下一步更新、附件3/4/5/6 同步修订；V1.2：Q1~Q6/Q8/Q9 经业务确认回填——私有化部署且不走第三方采购（方案A/B 转为功能架构参照，成本仅计自建人天）、与 AI 知识库系统独立、档案字段与投后范围按行业标准数据建模、不投原因「预置选项 + 自定义」、提醒功能确认需要、现状为表格管理；Q7/Q10/Q11 待确认；新增《P1-F02-功能架构图》并嵌入 4.1，后按讨论结论加入 AI 知识库外部系统块与 MCP 协同（第六节协同机制同步改写，项目库侧新增 MCP Server 接口入 V2.0），应用功能层与支撑层扩为全量菜单（对应附件4 29 功能点）：V2.0 置灰、V1.0 标注对应原始需求 R1~R6；全项目统一术语口径：投前管道（①~⑦）→ 投资执行（⑧）→ 投后与退出（⑨~⑩），弃用"十段业务管道"（3.2 增术语分层说明）；功能架构图上移至 1.1 图 2（结论性核心内容前置），4.1 改为指引；审查修订：第六节补协同机制来源与生效前提、附录补收附件6、2.3 投后/基金段归因修正（Q6/Q7）、4.1 图注与 Q11 答复列修正、附件1 结论口径同步 V3.1；V1.1：参照知识库项目报告体例重写——方案A/B/C 与附件5 三泳道对齐，新增方案速览/各方案下一步行动/核心事实/风险清单/需求覆盖对照，图片路径改为工作区根目录相对；V1.0：总分结构全量更新、更名《P1-R01-方案分析报告》；更早略）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报告状态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V1.3（Q1~Q11 全部答复完毕）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——下一迭代触发点：原型细化与技术方案（残留待定项见 4.3 与风险 R1）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投资项目管理系统（业务称呼：项目库）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需求基线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见《P1-A02-原始需求记录》（原文逐字收录 + 拆解 R1~R6）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竞品分析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见《P1-A01-竞品分析文档》（V3.2：10 家全量档案 + 市场全景 + 双功能矩阵 + 设计启示；结论口径已按 Q2"不走采购"更新）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术语表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见《P1-A03-术语表》（本项目投资业务与部署术语；知识库项目 AI/架构术语见其《P1-A04-术语表》）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功能清单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见《P1-A04-功能清单对照表》（行业全量 29 功能点 × V1.0/V2.0 范围逐条对照）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架构对比图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见《P1-F01-类型架构对比图》（三线并列，含段位流转/放弃分支/支撑挂接箭头语义）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功能架构图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见《P1-F02-功能架构图》（投资部需求四层细化：用户/应用功能/支撑/平台与集成，标注 V1.0/V2.0 与待确认项）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阶段流转与流程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见《P2-D01-项目阶段流转与操作流程图》（功能调研阶段文档，挂靠《P2-R01-PRD》；十二阶段流转全图、7 放弃分支、投前双路径、投后四项、退出三段、六节点审批）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数据建模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见《P2-D02-数据建模》（功能调研阶段文档；ER 总图 + 15 实体字段表 + 1:1 基准关联设计 + V2 扩展预留）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菜单与字段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见《P2-D03-功能菜单与字段清单》（功能调研阶段文档；V1.0 全量菜单树 + 21 页面清单 + 页面-实体映射，嘉怡×胡博对接材料）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阶段2 主文档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见《P2-R01-PRD》（V1.0）——功能调研阶段主输出物，整合 D01~D03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关联项目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AI 知识库（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项目 01《P1-R01-方案分析报告》（5-【ACTIVE】AI知识库）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）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方案A/B/C 命名与《P1-F01-类型架构对比图》三条泳道一一对应；报告为总分结构——第一节可单独阅读，第二~九节为分述，支撑细节全部下沉至附件 A01~A04、图 F01/F02。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二、三方案详述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2.1 方案A：轻量管道派（CRM 型）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 Deal Flow 管道与关系管理为中心的轻量产品（对应附件5 左泳道），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定位为功能架构参照，不作采购（Q2 已确认）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形态与覆盖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：仅「投」段 + 支撑层（数据富化 / 报表漏斗）；募 / 管 / 退三段缺失（图中三个虚线小块，保留段位底色）；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代表产品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：国际 Affinity、4Degrees、DealCloud（多租户 SaaS）；国内 VC800/PEPM、慧投 VC（SaaS + 私有云）；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部署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：SaaS 为主（Q2 已确认私有化部署，本类仅作架构参照）；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成本模式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：按席位订阅——不适用（不走采购）；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优势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：上线最快、使用轻量、自动化程度高（邮件/日历/名片自动捕捉）；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劣势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不覆盖"投后全记录至清算注销"的核心需求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（已投闭环整体缺失）；不投原因仅有自由文本字段，无结构化分类与统计；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参照价值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：字段设计、漏斗视图、自动化捕捉等前段设计要点，供自建借鉴（附件1 设计启示）。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2.2 方案B：全流程派（Front-to-Back）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募投管退 + 支撑五段全覆盖的机构级系统（对应附件5 中泳道），以国内私有化供给为主，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定位为功能架构参照，不作采购（Q2 已确认）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形态与覆盖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：五段全覆盖，含基金台账 / 估值 / LP 门户；蓝凌明示"基金清算分配、基金业绩核算"专模块，与需求终态直接对口；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代表产品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：国内私有化——蓝凌 VCPE、璞华易投、恒生电子（契合度 Top3）；国际——eFront（Aladdin 云为主，落地条件受限）；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部署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：本地部署 / 私有化实施（国内）——Q2 已确认私有化，本类仅作架构参照；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成本模式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：项目制定价——不适用（不走采购）；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优势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：后段能力成熟，直接满足投后闭环与基金维度（Q7 已确认）；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劣势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：重实施、周期长；不投原因结构化需定制开发；前段管道体验相对轻量产品偏重；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参照价值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：投后管理、基金清算/业绩核算等后段模块设计，供自建后段借鉴（蓝凌、璞华易投、恒生为契合度 Top3）。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2.3 方案C：投资部需求组合（自建，建设路线）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按投资部需求组合能力建设（对应附件5 右泳道）：前段（投段管道）取 CRM 派形态，后段（管 / 退）取全流程派能力，不投原因分类记录为独有。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经 Q2 确认，本方案为建设路线。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实施方式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：V1.0 全自建（17 个功能点，08-26 确认项已全部并入，见附件4）；V2.0 继续自建深化（估值、原因树、标签、驾驶舱、数据富化、AI 摘要、MCP/API、移动端），功能设计参照全流程派成熟模块；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功能覆盖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：唯一能原生存续"不投原因分类记录"的方案（全市场空白 → 自建差异化亮点）；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部署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：私有化部署（Q2 已确认）；与 AI 知识库系统相互独立，不共用底座（Q3 已确认，见第六节）；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成本模式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：自建人天（待开发评估），无采购费用（Q2）；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优势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：完全贴合原始需求口径；差异化能力沉淀为部门自有资产；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劣势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：上线最慢（分期建设）；行业最佳实践（字段 / 报表 / 预警）需自行补齐；长期维护依赖开发资源；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适用前提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：Q5 已确认（预置选项 + 自定义补充）；Q7 已确认（08-26：20+ 基金、单基金单项目基准）；开发资源到位。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2.4 需求覆盖对照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以附件1 需求契合度分级口径的 6 项功能特征对照三方案：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需求特征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方案A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方案B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方案C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① BP 即入库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② 投前管道 + 时间戳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③ 不投原因结构化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❌（自由文本）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⚠️ 需定制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原生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④ 投后全记录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✅（V1.0 基础版起步）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⑤ 清算 / 注销终态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⑥ 私有化 + 中文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⚠️ 仅国内轻量产品满足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✅（国内私有化）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✅（随技术方案）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③ 在全市场为空白（附件1 契合度口径注），市场上无现成可用，自建为唯一原生实现路径；④ 对方案C 指 V1.0 即按四项刚性功能完整落地（08-26：事件记录/报告归档/风险预警/到期提醒≥30天，全部并入 V1.0）。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三、需求理解与业务规则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3.1 需求原文与四大特征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原始需求逐字收录见《P1-A02-原始需求记录》（含拆解 R1~R6 与提出背景）。核心特征：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宽口径入库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：一接触项目即入库——收到 BP 就建档，不做任何前置筛选；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过程留痕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：项目沿投资流程推进时，系统记录每个阶段的时间节点；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未投闭环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：项目在任何阶段放弃，记录「放弃时所处阶段 + 不投原因」后归档；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已投闭环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：投后管理全量记录，直至项目退出、基金清算/注销，系统记录方为终态。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3.2 项目十二个阶段：投前管道 → 投资执行与设立 → 投后与退出（08-26 沟通会定稿）</w:t>
      </w:r>
    </w:p>
    <w:p>
      <w:pPr>
        <w:spacing w:after="0"/>
        <w:ind w:left="2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① 接触/收 BP ──→ ② 线上路演 ──→ ③ 保密协议签署 ──→ ④ 尽调资料包 / 现场访谈</w:t>
      </w:r>
    </w:p>
    <w:p>
      <w:pPr>
        <w:spacing w:after="0"/>
        <w:ind w:left="2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──→ ⑤ 立项 ──→ ⑥ 投资人路演（新增）──→ ⑦ 投决 ──→ ⑧ 出资</w:t>
      </w:r>
    </w:p>
    <w:p>
      <w:pPr>
        <w:spacing w:after="0"/>
        <w:ind w:left="2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──→ ⑨ 基金设立（显式入链）──→ ⑩ 投后管理（持续）──→ ⑪ 项目退出 ──→ ⑫ 基金清算注销（终态）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会前十阶段口径（"看 BP 初筛""听路演"为独立阶段、退出与清算合并）已于 08-26 修订为上述十二阶段（附件2 5.1）：③ 保密协议签署显式入链；④ 存在两条路径——签保密协议后对方直接发资料包，或先现场访谈、确认跟进后再发资料包；⑥ 投资人路演为新增节点；⑨ 基金设立显式入链；⑪ 项目退出与 ⑫ 基金清算注销拆分为两阶段，退出段为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三段递进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（项目退出 → 收益分配 → 基金清算注销，见 4.1）。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放弃节点 7 个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（覆盖①②④⑤⑥⑦，③保密协议环节无放弃点；新增"投资人路演后放弃"）：看 BP 后不看 / 线上路演后 / 现场访谈后 / 收到尽调资料后 / 立项时（老板否决）/ 投资人路演后 / 投决时——各节点原因实例见附件2 5.2。放弃后项目进入"未投归档"；过了 ⑧ 出资即无"放弃"，沿 ⑨ 记录至 ⑫ 终态。</w:t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术语口径（全项目统一）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：十二个阶段按行业通识分三段——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投前管道（①~⑦，Pipeline/Deal Flow）→ 投资执行与设立（⑧~⑨）→ 投后与退出（⑩~⑫，Portfolio/Exit）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。分层用词：对外/文档用「投前管道」「投后管理」；系统菜单用业务动作词——「项目跟进」（投前）、「投后时间线 / 投后文档」等（管段）。投资部口径的区分特征——投前管道 = 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宽口径入库（BP 即进）+ 七个放弃节点留痕 + 不投原因结构化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；投后管理 = 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全量记录直至基金清算/注销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（而非项目退出）。标准状态标签（10 个）：BP接收 / 路演完成 / 保密协议签署 / 尽调启动 / 立项通过 / 投决通过 / 已出资 / 投后管理 / 已退出 / 已注销，支持按放弃原因快速筛选统计。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3.3 核心业务规则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规则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最低入库门槛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收到 BP 即建项目档案；BP 原件作为首个入库材料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阶段流转留时间戳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每次阶段推进记录发生时间，形成项目时间线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未投项目：节点 + 原因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放弃时记录所处阶段（自动带出时间戳）+ 不投原因；归档后可检索、可统计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已投项目：投后全记录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投后内容范围按行业标准数据建模（Q6 已确认），参照投后监控专项产品（iLevel/Solovis 等）的字段与报表实践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终态 = 清算/注销基金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生命周期终点锚定在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基金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维度（清算、注销），而非仅项目退出——系统需有基金实体与项目-基金关联（Q7 已确认：20+ 只基金、单基金单项目为基准、预留 1:N）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退出三段递进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项目退出（分批次登记）→ 收益分配（按 LP 约定比例核算）→ 基金清算注销（所投项目全部退出后启动），不可合并或省略（08-26）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材料逻辑包归档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材料按 BP 包 / 路演纪要 / 尽调资料包 / 投决包 / 基金设立文件 / 投后资料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强制分类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，替代通用附件堆砌（治现有 CRM 三大缺陷，08-26）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到期前置提醒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对赌协议到期、回购触发、关键条款履约/资质续期等，前置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≥30 天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系统提醒（08-26）</w:t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四、功能规划与版本规划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4.1 功能模块总览（九模块，08-26 沟通会后定稿）</w:t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功能架构图（四层 × 段位 × 全量菜单，V1.0/V2.0 与 R 标注）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见 1.1 图 2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 及《P1-F02-功能架构图》，属结论性核心内容已前置至第一节。行业通用模块结构为「募投管退四段 + 支撑层」（源自 A01 第 2.5 节竞品模块普查）；本节九模块覆盖"募/投/管/退 + 支撑"（Q11 已确认募段极简纳入，08-26）。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段位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功能要点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项目档案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建档（BP 上传即建）、基础信息（字段按行业标准数据建模——Q4 已确认）、材料库（按逻辑包强制分类：BP 包/路演纪要/尽调资料包/投决包/基金设立文件/投后资料，08-26）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投前管道（Pipeline）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十二阶段定义与流转（3.2）、时间戳记录、当前状态视图（10 个标准状态标签）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放弃管理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放弃节点选择（7 节点，所处阶段自动带出）、不投原因（预置分类 + 自定义补充——Q5，实例库见附件2 5.2）、归档与检索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投/退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基金实体（有限合伙全称/注册资本/成立日期/注册地、LPA 与工商注册文件上传）、出资记录按基金维度手工维护；20+ 只基金、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单基金单项目为基准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（Q7 已确认，预留 1:N）；已投项目独立归档（LP 协议/工商文件/托管协议/证券户凭证等）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募段·LP 管理（极简）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LP 主体名称/认缴实缴金额/出资时间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文字录入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（一 LP 多主体）、资质材料上传（LPA/主管协议/募集协议）、LP 资格认定（设立基金出资前）；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募集流程/报表（Q11 已确认）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管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四项刚性功能（08-26）：① 事件记录（股东会/董事会决议、重大经营变动、访谈纪要，附件 + 时间戳固化）；② 报告归档（季报/年报/专项报告，手动上传）；③ 风险预警（二级市场股价走势、行业舆情定时收集推送，可接企查查/同花顺）；④ 到期提醒（对赌/回购/条款履约/资质续期，前置 ≥30 天）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退出与分配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退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三段递进（08-26，不可合并省略）：①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项目退出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（原"退出登记"更名；类型表单选择：分红/股权转让/IPO 减持等，分批次登记，字段含卖出价格数量/时间节点/本金/收益/收益率）→ ②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收益分配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（按 LP 约定比例核算、分配明细与时间节点、付款记录）→ ③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基金清算注销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（所投项目全部退出后启动：清算报告/资产处置/税务清算/剩余资金分配/工商注销）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统计报表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支撑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阶段漏斗（各阶段转化率/放弃率）、不投原因分布；报表口径先上系统再定（现为半年/年度手工统计，08-26）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权限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支撑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投资部内部 10 人以内（Q1 已确认）；角色 + 菜单级控制（08-26）；多分支机构权限预留（宏兆背景）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基金清算模块的菜单归属（放「投后管理」还是「基金管理」）待定（附件2 5.5 注）；内置六节点在线审批（立项/投决/基金注册/付款/分配/注销）为横切能力，V1.0 交付（见 4.2 与附件4 #29）。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4.2 V1.0（跑通，08-26 确认项全部并入）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17 个功能点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= 原始需求直接要求的 11 个（附件4 编号 #1~8、10、11、17：项目档案三件套、投前管道流转、放弃节点记录、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不投原因结构化分类（市场空白，核心差异化）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、投后基本记录、基金清算终态标记、基础统计漏斗）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+ 08-26 沟通会确认纳入的 6 个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（#14 风险预警、#16 到期提醒≥30天、#18 项目退出、#19 收益分配、#20 募段 LP 极简、#29 六节点在线审批）。原 11 项同步按会议结论加深：十二阶段管道（#3）、7 放弃节点（#5）、材料逻辑包归档（#7）、基金实体 1:1 基准（#17）。逐条对照见《P1-A04-功能清单对照表》。</w:t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版本边界口径（08-26 后）：沟通会确认"要做"的内容（含退出三段递进、投后四项刚性功能、六节点审批、极简募段）一律 V1.0 交付；确认"不做"的见 4.3。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4.3 V2.0（完善，08-26 沟通会后修订）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08-26 确认项并入 V1.0 后，V2.0 剩 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8 个功能点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（#2 标签扩展、#6 两级原因树、#13 投后估值、#23 驾驶舱、#25 数据富化候选、#26 AI 摘要、#27 MCP Server/API、#28 移动端），另含 #29 简道云 OA 嵌入方式深化：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深化方向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：估值管理、两级原因树、标签体系、驾驶舱/组合看板、移动端、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MCP Server 接口（对外协同 · 见第六节）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、AI 摘要（经 MCP）、数据富化（候选）；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确认不做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（08-26）：财报自动收集（手动上传即可）、委派董事管理、尽调模板（尽调以向公司索取资料包 + 现场访谈为主）、LP 门户/IR 汇报（无募集流程/报表）、机构管理模块（暂缓，无实际使用需求）；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系统边界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（Q10 已确认）：不与财务/OA/外部监管系统强制打通，仅内部项目台账；外部联动经 WorkBuddy（MCP）调用项目库与企查查/同花顺等。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五、市场品类与竞品对标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5.1 品类命名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本系统在市场上的正式品类为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股权投资管理系统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（PE/VC Investment Management System），亦称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投资机构业务管理系统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基金投资全生命周期管理系统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。需求表述与行业术语的对应：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原始需求表述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行业术语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收到 BP 就丢进去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Deal Flow / 项目管道管理（Pipeline Management），宽口径入库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记录放弃的时间节点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阶段管理 + 漏斗转化（Funnel）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记录不投的原因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Pass Reason（不投/淘汰原因分类）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投后全部内容记录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投后管理（Portfolio Monitoring）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直至清算、注销基金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基金生命周期 + 退出管理（Fund Lifecycle / Exit）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需求虽为口语化表述，但恰好构成该品类的标准形态（宽口径入库 + 阶段留痕 + 不投原因结构化 + 投后闭环），自建时可按品类最佳实践补齐字段（如项目来源渠道、赛道标签、接触人数、下次跟进提醒等）。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5.2 竞品/对标产品清单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阵营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代表产品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特点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对本项目的参考价值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VC/PE CRM（轻量、管道为核心）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Affinity、DealCloud（Intapp 旗下）、4Degrees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「项目库」标准形态：关系智能 + Deal Flow，SaaS 为主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字段设计、漏斗视图、不投原因分类树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机构级 Front-to-Back（重、全流程）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eFront（BlackRock 旗下）、Dynamo、Allvue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募投管退全链路：基金台账、估值、LP 汇报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基金维度建模（Q7）、投后模块深度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投后监控专项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iLevel（Diligent 旗下）、Solovis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投后数据收集、估值、组合分析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投后报表与定期报告设计（Q6）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国内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鲸准、VC800/PEPM、璞华易投、元粟、慧投VC、蓝凌 VCPE、投资云、恒生电子、投中锴思、清科系、IT桔子、烯牛数据等 12 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四层结构：垂直 SaaS / 企业级私有化项目制 / 生态协同 / 金融 IT 巨头与数据服务派；其中鲸准、恒生、璞华易投、VC800、蓝凌、投资云 6 家为全量竞品档案，市场全景对比表见A01 第二章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国内使用习惯与中文化；私有化 + 投后到清算在国内有成熟供给（含金融 IT 龙头恒生），功能设计可直接参照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清单基于公开市场信息整理（该赛道并购频繁，引用时需核实各产品最新归属与合规情况）。功能层详细分析（10 家全量档案 / 功能矩阵 / 定价模式 / 设计启示）见《P1-A01-竞品分析文档》。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5.3 竞品分析核心结论（详见A01 V3.2）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需求契合度 Top3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：蓝凌 VCPE（高·全场最高——唯一明示"基金清算分配/业绩核算"模块，与"直至注销基金"直接对口）、璞华易投（高——"储备项目管理"最贴"BP 丢进去"）、VC800（中高——母基金场景契合 Q7）；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不投原因结构化记录（Pass Reason）为全市场空白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（10 家全量档案无一做成一等公民）→ 自建的核心差异化；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需求后半段（投后到清算）国内产品供给成熟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（璞华/蓝凌/恒生）→ 自建后段可直接参照其模块设计（基金清算分配、业绩核算、投后报表），降低自行摸索成本；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不走第三方采购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（Q2 已确认）→ 无需 RFP 询价；竞品的价值在于功能架构参照（Q9 对标国内主流产品），不投原因结构化这一亮点买不来、自己建成差异化。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六、与 AI 知识库项目的关系（已确认：相互独立，Q3）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经 Q3 确认：本系统与 AI 知识库项目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相互独立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建设——独立部署、独立账号体系，不共用技术底座。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协同机制（接口级 · 松耦合）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：两系统各自暴露 MCP Server，由知识库侧 Harness 统一调用（当前按其倾向的 WorkBuddy 路线，前提与来源见尾注），实现跨系统协同（如 BP 自动摘要入库、结合项目管道数据的投研问答）——数据不出各自系统、不共用底座与账号，独立性不受影响；项目库侧的 MCP Server 接口（对外暴露项目/管道数据）列入 V2.0 / 技术方案范围。总体架构见《P1-F02-功能架构图》底部外部系统块。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原评估过的三个整合方向及结论：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方向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BP 的 AI 处理（调用知识库侧文档解析/摘要能力生成项目速览）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不采用深度集成，经 MCP 协同实现（见上）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同服务器部署、统一账号体系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不采用（独立部署、独立账号）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项目库的 BP/尽调资料同步进入知识库供问答检索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不采用批量同步（按需经 MCP 检索调用）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协同机制为 2026-08-25 讨论确认的补充结论（Q3 答复"独立"之外的协同方式）；按知识库项目当前倾向的 WorkBuddy 路线（其方案B）展开，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该选型定稿前本机制为方向性结论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——若知识库最终选自建 Harness，由自建 Harness 承担调用、机制不变；具体接口清单随技术方案细化。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七、风险清单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说明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关联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R1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trike/>
                <w:color w:val="6B7280"/>
                <w:sz w:val="18"/>
                <w:szCs w:val="18"/>
              </w:rPr>
              <w:t xml:space="preserve">剩余需求口径未确认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已关闭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（08-26）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Q1~Q11 全部答复完毕（第八节）；残留小项：① 基金清算模块菜单归属待定（投后 vs 基金管理，附件2 5.5 注）；② 不投原因预置清单待业务提供（Q5 尾巴）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第八节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R2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自建工期与维护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自建上线最慢（分期）；行业最佳实践需自行补齐（以竞品功能架构为参照可降低风险），长期维护依赖开发资源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R3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数据迁移与对接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现有表格（Excel）数据迁移工作量未评估（Q9 已确认现状为表格管理）；对接口径已定（Q10）：不与财务/OA 强制打通、内置审批嵌入简道云 OA——简道云嵌入方式与集成细节待技术验证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Q9/Q10</w:t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八、待确认问题清单</w:t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2026-08-25 业务答复 Q1~Q6、Q8、Q9 共 8 项；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2026-08-26 投资部需求沟通会确认剩余 Q7/Q10/Q11——至此 Q1~Q11 全部答复完毕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（Q7/Q10/Q11 细化内容与原文出处见附件2 第四节/第五节）。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问题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答复（2026-08-25）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为什么重要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使用范围与规模：投资部几人使用？是否有领导层/中后台/外部 GP 相关方？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10 人以内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决定权限模型与并发规格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部署形态：是否与知识库项目同要求（公司服务器私有化、数据不出域）？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私有化部署；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不走第三方采购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——竞品仅作功能架构参照，成本只计自建人天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决定技术方案边界与成本口径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与 AI 知识库系统的关系：独立 / 集成 / 共用底座？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独立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决定架构与开发量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项目档案字段：BP 之外需记录什么（估值、拟投金额、轮次、赛道标签…）？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按行业标准数据建模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数据模型设计输入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不投原因的标准分类：请业务给出原因清单（如估值过高/赛道不符/团队问题/合规风险…），是否允许自由补充？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预置分类选项 + 允许自定义补充（预置清单待业务提供）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结构化才能统计，是本系统的核心价值点之一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投后管理内容范围：事件？定期报告（季报/年报）？董事会？证照与合同？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按行业标准数据建模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决定投后模块的深度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基金维度：管理几支基金？项目-基金是单基金还是多基金投资同一项目？清算/注销在系统里如何表示？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✅（08-26）境内外共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20+ 只基金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、将持续新设；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单基金单项目为基准架构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（一个基金投一个项目，禁止跨基金混投），未来不排除单基金投多项目（极少，约一两个基金，预留 1:N）；基金实体字段见附件2 5.3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数据模型可定稿：基金实体 + 1:1 项目-基金关联为基准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提醒/预警：投后定期跟进提醒、关键节点到期提醒是否需要？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需要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影响排期与依赖（通知渠道）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现状与对标：目前用什么管（Excel/飞书）？有无希望对标的产品？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目前使用表格管理；对标国内主流产品（参考附件1 契合度分析）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了解习惯与预期，避免重复建设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与现有系统对接：OA、财务、基金估值系统等是否需要互通？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✅（08-26）不与财务/OA/外部监管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强制打通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，仅内部项目台账；需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内置在线审批六节点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（立项/投决/基金注册/付款/分配/注销），可独立运行或嵌入简道云 OA「投资产业」板块作"投资项目管理"子目录；另经 WorkBuddy（MCP）调用项目库与企查查/同花顺等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接口边界明确；新增内置审批模块（嵌入方式待技术验证）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是否需要"募"段功能（LP 资格认定/出资管理/IR 汇报）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✅（08-26）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极简募集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：LP 主体名称/出资金额/出资时间文字录入（一 LP 多主体）+ 资质材料上传（LPA/主管协议/募集协议）+ LP 资格认定（设立基金出资前）；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募集流程/报表模块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募段纳入但极简（附件4 #20 纳入、#21 LP 门户/IR 不做）</w:t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九、下一步行动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业务确认（已全部完成）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：Q1~Q6/Q8/Q9 于 2026-08-25 确认、Q7/Q10/Q11 于 2026-08-26 沟通会确认（本报告 V1.3 已回填）；残留小项：不投原因预置清单（找投资经理整理，附件2 5.2 实例库为素材）、基金清算模块菜单归属；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竞品分析（已完成，结论口径随 Q2 更新为 V3.1）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：《P1-A01-竞品分析文档》——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10 家全量竞品档案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（4 国际 + 6 国内，含部署形态/优势劣势/竞争策略/需求契合度，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按契合度降序排列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：蓝凌 &gt; 璞华易投 &gt; VC800 &gt; …）+ 6 家国内概览 + 市场全景对比表 + 国际 18 维/国内 10 维双功能矩阵 + 设计启示；定位为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功能架构参照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（不走采购，Q2）；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功能清单与设计文档（已产出，待评审）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：《P1-A04-功能清单对照表》已按 08-26 结论修订；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功能调研三件套（P2-D01 项目阶段流转与操作流程图 / D02 数据建模：ER + 15 实体字段表 / D03 功能菜单与字段清单：菜单树 + 21 页面）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已产出，作为原型与开发输入——阶段2 主输出物为《P2-R01-PRD》，文档编码规则见 PRD 附录；待办（08-26 会议明确）：嘉怡和胡博以 D03 为底稿对接细化菜单/字段/原型；胡博牵头协同陈有、华悦确认基金设立与投后模块字段与流程细节（D02 3.5~3.12）；向华悦同步投后四模块业务规则（D01 2.3）；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技术方案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：私有化部署 + 独立系统（Q2/Q3 已确认），输出架构设计与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自建人天估算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（成本唯一构成）；含简道云 OA 嵌入方式验证（Q10）；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数据迁移方案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：现有表格（Excel）项目数据迁移至系统（Q9 已确认现状）；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本报告已迭代至 V1.3；《P1-A02-原始需求记录》需求演变（第四节）与沟通会细化（第五节）同步在案，后续变更以会议结论滚动更新。</w:t>
      </w:r>
    </w:p>
    <w:p>
      <w:pPr>
        <w:pBdr>
          <w:bottom w:val="single" w:color="DDDDDD" w:sz="4" w:space="4"/>
        </w:pBdr>
        <w:spacing w:after="160"/>
      </w:pP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附录：文件组织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文件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P1-A01-竞品分析文档.md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V3.2：市场概览（两阵营 + 国内四层 + 5 形态）、10 家全量档案（按契合度降序）、国际 18 维/国内 10 维双矩阵、定价模式、设计启示、方法论（结论口径按 Q2"不走采购"更新）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P1-A02-原始需求记录.md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原始需求逐字收录、拆解 R1~R6、提出背景（宏兆集团基金背景检索）、需求演变（Q1~Q11 答复记录）与 08-26 沟通会细化（十二阶段/退出三段/投后四项/募段极简/六节点审批/逻辑包归档）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P1-A03-术语表.md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投资业务与部署术语（08-26 增补：保密协议、投资人路演、收益分配、单基金单项目、简道云、六节点审批、逻辑包归档等）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P1-A04-功能清单对照表.md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29 功能点按募投管退 + 支撑分组，五列对照（行业全量/竞品佐证/V1.0/V2.0/备注）；08-26 修订：确认项并入 V1.0（11→17 点）、不做项移出、Q7/Q10/Q11 备注回填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P1-F01-类型架构对比图.html / .png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三线并列架构对比图（方案A/B/C），含段位流转、放弃分支、支撑挂接三类箭头语义；08-26 修订：方案C 募段由"待确认"改"极简确认"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P1-F02-功能架构图.html / .png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投资部需求功能架构图（四层：用户/应用功能/支撑/平台与集成），标注 V1.0/V2.0；08-26 修订：募段确认、尽调模板/委派董事移出、退出三段递进、Q7/Q10/Q11 待确认标注解除，含底部外部 AI 知识库协同块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阶段2 文档（功能调研，2026-08-26 起）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：主文档《P2-R01-PRD》+ 设计文档 P2-D01（项目阶段流转与操作流程图）/ D02（数据建模）/ D03（功能菜单与字段清单）+ 配图 P2-F01~F06——按「Pn·类型码序号」编码，文件清单与编码规则见 PRD 附录第十节；后续阶段（P3 原型、P4 技术方案）按此规则顺延。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P1-R01-方案分析报告 V1.3 ·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Microsoft YaHei" w:cs="Microsoft YaHei" w:eastAsia="Microsoft YaHei" w:hAnsi="Microsoft YaHei"/>
      <w:b/>
      <w:bCs/>
      <w:color w:val="111827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11827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70397248dd958cace8da8e5d49f0bf67f7f843.png"/><Relationship Id="rId10" Type="http://schemas.openxmlformats.org/officeDocument/2006/relationships/image" Target="media/12c380c0a736437103080d0f6b83296412cbe53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2026-08-27T03:04:46.761Z</dcterms:created>
  <dcterms:modified xsi:type="dcterms:W3CDTF">2026-08-27T03:04:46.762Z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