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rPr>
          <w:rFonts w:ascii="Microsoft YaHei" w:cs="Microsoft YaHei" w:eastAsia="Microsoft YaHei" w:hAnsi="Microsoft YaHei"/>
          <w:b/>
          <w:bCs/>
          <w:color w:val="111827"/>
          <w:sz w:val="34"/>
          <w:szCs w:val="34"/>
        </w:rPr>
        <w:t xml:space="preserve">P1-R01-方案分析报告（V1.3）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一、方案总览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1.1 架构图（类型对比 · 功能架构）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5438775"/>
            <wp:effectExtent t="0" r="0" b="0" l="0"/>
            <wp:docPr id="1" name="系统类型架构对比图" descr="系统类型架构对比图" title="系统类型架构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图 1：「方案A 轻量管道派 / 方案B 全流程派 / 方案C 投资部需求」三线并列，统一按「募/投/管/退 + 支撑」分段命名；箭头表示段位自上而下流转（募→投→管→退），绿色箭头为放弃分支（投段 → 不投原因记录），虚线短接为支撑层挂接；相同功能同色（募紫、管道蓝、投后橙、清算红、支撑灰），不投原因分类记录为投资部独有（绿色高亮），虚线框为该段缺失/待确认（文字置灰、保留段位底色）；高清原文件 </w:t>
      </w:r>
      <w:r>
        <w:rPr>
          <w:rFonts w:ascii="Microsoft YaHei" w:cs="Microsoft YaHei" w:eastAsia="Microsoft YaHei" w:hAnsi="Microsoft YaHei"/>
          <w:color w:val="2563EB"/>
          <w:sz w:val="19"/>
          <w:szCs w:val="19"/>
        </w:rPr>
        <w:t xml:space="preserve">`P1-R01-F01-类型架构对比图.html`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（浏览器打开可缩放查看）。</w:t>
      </w:r>
    </w:p>
    <w:p>
      <w:pPr>
        <w:spacing w:after="120" w:before="120"/>
        <w:jc w:val="center"/>
      </w:pPr>
      <w:r>
        <w:drawing>
          <wp:inline distT="0" distB="0" distL="0" distR="0">
            <wp:extent cx="5514975" cy="8191500"/>
            <wp:effectExtent t="0" r="0" b="0" l="0"/>
            <wp:docPr id="1" name="投资部需求功能架构图" descr="投资部需求功能架构图" title="投资部需求功能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图 2（结论性核心内容）：按「用户层 → 应用功能层（募投管退段位）→ 支撑层 → 平台与集成」四层细化的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功能架构与全量系统菜单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（对应附件4 的 29 个功能点，「」标注）——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黑字为 V1.0 菜单，行尾 R 标签对应《P1-R01-A02-原始需求记录》R1~R6；灰字（V2）为 V2.0 菜单（置灰）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；段位配色与图 1 一致，绿色为投资部独有的不投原因管理；原待确认项（Q7/Q10/Q11）已于 08-26 全部确认，图内标注随附件6 修订版更新。底部虚线边界为外部 AI 知识库系统（独立建设 · Q3，按其方案B 展开），两系统经 WorkBuddy 调用各自 MCP Server 实现接口级协同（见第六节）；高清原文件 </w:t>
      </w:r>
      <w:r>
        <w:rPr>
          <w:rFonts w:ascii="Microsoft YaHei" w:cs="Microsoft YaHei" w:eastAsia="Microsoft YaHei" w:hAnsi="Microsoft YaHei"/>
          <w:color w:val="2563EB"/>
          <w:sz w:val="19"/>
          <w:szCs w:val="19"/>
        </w:rPr>
        <w:t xml:space="preserve">`P1-R01-F02-功能架构图.html`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（浏览器打开可缩放查看）。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1.2 方案速览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方案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构成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功能覆盖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上线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灵活度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成本模式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详细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轻量管道派（CRM 型）产品形态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仅「投」段 + 支撑；募/管/退缺失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快（开通即用）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低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—（不采购，仅架构参照）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 2.1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全流程派（Front-to-Back）系统形态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募投管退 + 支撑全覆盖；不投原因结构化需定制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中（项目制实施）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低~中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—（不采购，仅架构参照）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 2.2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按投资部需求组合自建（V2.0 深化扩展）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按需定义，不投原因结构化原生存续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慢（分期建设，V1.0 先跑通 17 功能点）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高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自建人天（待评估）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 2.3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经 Q2 确认：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不走第三方采购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——方案A/B 仅作功能架构参照（设计对标用），建设路线确定为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方案C（自建）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；成本只计自建人天（待开发团队评估），无需 RFP 询价。功能覆盖为基于附件1 功能核查的客观对照。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1.3 各方案下一步行动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方案A · 轻量管道派（架构参照）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不做厂商接触与采购动作（Q2 已确认不走采购）；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提炼其字段设计、漏斗视图、关系自动化捕捉等设计要点，供自建前段借鉴（见附件1 设计启示）。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方案B · 全流程派（架构参照）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不做厂商接触与采购动作（Q2 已确认不走采购）；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提炼其投后管理、基金清算/业绩核算等后段模块设计要点（蓝凌、璞华易投、恒生为契合度 Top3），供自建后段借鉴。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方案C · 投资部需求组合（建设路线）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Q5 已确认：不投原因采用「预置分类选项 + 自定义补充」，各节点原因实例已于 08-26 给出（附件2 5.2），预置分类清单待业务整理后落入数据模型；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Q7 已确认（08-26）：境内外 20+ 只基金、将持续新设，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单基金单项目为基准架构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（预留 1:N），数据模型可定稿；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按《P1-R01-A04-功能清单对照表》V1.0 的 17 个功能点排期（08-26 确认项已全部并入），输出页面原型（待办：嘉怡与胡博对接细化功能菜单/字段定义/原型）；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独立系统建设（Q3 已确认），按私有化部署（Q2 已确认）输出技术方案与自建人天估算；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Q10/Q11 已确认（08-26）：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内置六节点在线审批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（可独立运行或嵌入简道云 OA「投资产业」板块）、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募段极简纳入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（LP 管理 + 资格认定）——V2.0 范围已按此修订（见 4.3 与附件4）。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1.4 核心事实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要点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建设方式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自建（方案C 路线），私有化部署，与 AI 知识库系统独立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；方案A/B 竞品仅作功能架构参照（Q2/Q3/Q9 已确认）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方案区分维度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系统类型 × 覆盖范围：轻量管道派（仅投段）/ 全流程派（募投管退全覆盖）/ 需求组合（投段取 CRM 形态 + 管退取全流程能力 + 独有空白点）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无单一产品覆盖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前半段（BP 建档 + 管道 + 时间戳）是 CRM 派标配，后半段（投后到基金清算）只有全流程派覆盖（附件1 执行摘要）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独有空白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不投原因分类记录（Pass Reason）为全市场空白（10 家全量档案核查）——方案C 的核心差异化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契合度基准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功能契合度 Top3（架构参照优先级）：蓝凌（高·全场最高）＞ 璞华易投（高）＞ VC800（中高）（附件1 第三章）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成本事实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成本仅计自建人天（待开发评估）；不走第三方采购，无需 RFP 询价（Q2 已确认）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1.5 报告信息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项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报告日期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2026-08-26（V1.3：Q7/Q10/Q11 经 08-26 投资部需求沟通会确认回填，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Q1~Q11 全部答复完毕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——阶段管道十→十二阶段（3.2 重绘，放弃节点 6→7）；Q7 基金维度定稿（20+ 基金、单基金单项目基准、预留 1:N）；Q10 对接边界定稿（不强制打通 + 内置六节点在线审批 + 嵌入简道云 OA）；Q11 募段极简纳入（LP 文字录入 + 资质材料 + 资格认定）；投后四项刚性功能与 V2 取舍（不做：财报自动收集/委派董事/尽调模板/LP 门户）；退出三段递进；材料逻辑包归档；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08-26 确认项全部并入 V1.0（11→17 功能点，V2.0 余 8 个）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；4.1 扩为九模块、4.3 重写、第八节回填、风险与下一步更新、附件3/4/5/6 同步修订；V1.2：Q1~Q6/Q8/Q9 经业务确认回填——私有化部署且不走第三方采购（方案A/B 转为功能架构参照，成本仅计自建人天）、与 AI 知识库系统独立、档案字段与投后范围按行业标准数据建模、不投原因「预置选项 + 自定义」、提醒功能确认需要、现状为表格管理；Q7/Q10/Q11 待确认；新增《P1-R01-F02-功能架构图》并嵌入 4.1，后按讨论结论加入 AI 知识库外部系统块与 MCP 协同（第六节协同机制同步改写，项目库侧新增 MCP Server 接口入 V2.0），应用功能层与支撑层扩为全量菜单（对应附件4 29 功能点）：V2.0 置灰、V1.0 标注对应原始需求 R1~R6；全项目统一术语口径：投前管道（①~⑦）→ 投资执行（⑧）→ 投后与退出（⑨~⑩），弃用"十段业务管道"（3.2 增术语分层说明）；功能架构图上移至 1.1 图 2（结论性核心内容前置），4.1 改为指引；审查修订：第六节补协同机制来源与生效前提、附录补收附件6、2.3 投后/基金段归因修正（Q6/Q7）、4.1 图注与 Q11 答复列修正、附件1 结论口径同步 V3.1；V1.1：参照知识库项目报告体例重写——方案A/B/C 与附件5 三泳道对齐，新增方案速览/各方案下一步行动/核心事实/风险清单/需求覆盖对照，图片路径改为工作区根目录相对；V1.0：总分结构全量更新、更名《P1-R01-方案分析报告》；更早略）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报告状态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V1.3（Q1~Q11 全部答复完毕）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——下一迭代触发点：原型细化与技术方案（残留待定项见 4.3 与风险 R1）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投资项目管理系统（业务称呼：项目库）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需求基线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见《P1-R01-A02-原始需求记录》（原文逐字收录 + 拆解 R1~R6）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竞品分析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见《P1-R01-A01-竞品分析》（V3.2：10 家全量档案 + 市场全景 + 双功能矩阵 + 设计启示；结论口径已按 Q2"不走采购"更新）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术语表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见《P1-R02-术语表》（本项目投资业务与部署术语；知识库项目 AI/架构术语见其《P1-R02-术语表》）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功能清单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见《P1-R01-A04-功能清单对照表》（行业全量 29 功能点 × V1.0/V2.0 范围逐条对照）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架构对比图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见《P1-R01-F01-类型架构对比图》（三线并列，含段位流转/放弃分支/支撑挂接箭头语义）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功能架构图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见《P1-R01-F02-功能架构图》（投资部需求四层细化：用户/应用功能/支撑/平台与集成，标注 V1.0/V2.0 与待确认项）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阶段流转与流程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见《P2-R01-D01-项目阶段流转与操作流程图》（功能调研阶段文档，挂靠《P2-R01-产品需求文档》；十二阶段流转全图、7 放弃分支、投前双路径、投后四项、退出三段、六节点审批）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数据建模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见《P2-R01-D02-数据建模》（功能调研阶段文档；ER 总图 + 15 实体字段表 + 1:1 基准关联设计 + V2 扩展预留）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菜单与字段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见《P2-R01-D03-功能菜单与字段清单》（功能调研阶段文档；V1.0 全量菜单树 + 21 页面清单 + 页面-实体映射，嘉怡×胡博对接材料）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阶段2 主文档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见《P2-R01-产品需求文档》（V1.0）——功能调研阶段主输出物，整合 D01~D03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关联项目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AI 知识库（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项目 01《P1-R01-方案分析报告》（5-【ACTIVE】AI知识库）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）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方案A/B/C 命名与《P1-R01-F01-类型架构对比图》三条泳道一一对应；报告为总分结构——第一节可单独阅读，第二~九节为分述，支撑细节全部下沉至附件 A01~A04、图 F01/F02。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二、三方案详述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2.1 方案A：轻量管道派（CRM 型）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 Deal Flow 管道与关系管理为中心的轻量产品（对应附件5 左泳道），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定位为功能架构参照，不作采购（Q2 已确认）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形态与覆盖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：仅「投」段 + 支撑层（数据富化 / 报表漏斗）；募 / 管 / 退三段缺失（图中三个虚线小块，保留段位底色）；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代表产品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：国际 Affinity、4Degrees、DealCloud（多租户 SaaS）；国内 VC800/PEPM、慧投 VC（SaaS + 私有云）；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部署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：SaaS 为主（Q2 已确认私有化部署，本类仅作架构参照）；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成本模式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：按席位订阅——不适用（不走采购）；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优势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：上线最快、使用轻量、自动化程度高（邮件/日历/名片自动捕捉）；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劣势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不覆盖"投后全记录至清算注销"的核心需求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（已投闭环整体缺失）；不投原因仅有自由文本字段，无结构化分类与统计；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参照价值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：字段设计、漏斗视图、自动化捕捉等前段设计要点，供自建借鉴（附件1 设计启示）。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2.2 方案B：全流程派（Front-to-Back）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募投管退 + 支撑五段全覆盖的机构级系统（对应附件5 中泳道），以国内私有化供给为主，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定位为功能架构参照，不作采购（Q2 已确认）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形态与覆盖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：五段全覆盖，含基金台账 / 估值 / LP 门户；蓝凌明示"基金清算分配、基金业绩核算"专模块，与需求终态直接对口；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代表产品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：国内私有化——蓝凌 VCPE、璞华易投、恒生电子（契合度 Top3）；国际——eFront（Aladdin 云为主，落地条件受限）；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部署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：本地部署 / 私有化实施（国内）——Q2 已确认私有化，本类仅作架构参照；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成本模式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：项目制定价——不适用（不走采购）；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优势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：后段能力成熟，直接满足投后闭环与基金维度（Q7 已确认）；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劣势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：重实施、周期长；不投原因结构化需定制开发；前段管道体验相对轻量产品偏重；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参照价值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：投后管理、基金清算/业绩核算等后段模块设计，供自建后段借鉴（蓝凌、璞华易投、恒生为契合度 Top3）。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2.3 方案C：投资部需求组合（自建，建设路线）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按投资部需求组合能力建设（对应附件5 右泳道）：前段（投段管道）取 CRM 派形态，后段（管 / 退）取全流程派能力，不投原因分类记录为独有。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经 Q2 确认，本方案为建设路线。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实施方式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：V1.0 全自建（17 个功能点，08-26 确认项已全部并入，见附件4）；V2.0 继续自建深化（估值、原因树、标签、驾驶舱、数据富化、AI 摘要、MCP/API、移动端），功能设计参照全流程派成熟模块；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功能覆盖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：唯一能原生存续"不投原因分类记录"的方案（全市场空白 → 自建差异化亮点）；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部署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：私有化部署（Q2 已确认）；与 AI 知识库系统相互独立，不共用底座（Q3 已确认，见第六节）；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成本模式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：自建人天（待开发评估），无采购费用（Q2）；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优势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：完全贴合原始需求口径；差异化能力沉淀为部门自有资产；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劣势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：上线最慢（分期建设）；行业最佳实践（字段 / 报表 / 预警）需自行补齐；长期维护依赖开发资源；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适用前提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：Q5 已确认（预置选项 + 自定义补充）；Q7 已确认（08-26：20+ 基金、单基金单项目基准）；开发资源到位。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2.4 需求覆盖对照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以附件1 需求契合度分级口径的 6 项功能特征对照三方案：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需求特征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方案A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方案B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方案C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① BP 即入库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② 投前管道 + 时间戳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③ 不投原因结构化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❌（自由文本）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⚠️ 需定制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原生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④ 投后全记录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✅（V1.0 基础版起步）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⑤ 清算 / 注销终态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⑥ 私有化 + 中文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⚠️ 仅国内轻量产品满足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✅（国内私有化）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✅（随技术方案）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③ 在全市场为空白（附件1 契合度口径注），市场上无现成可用，自建为唯一原生实现路径；④ 对方案C 指 V1.0 即按四项刚性功能完整落地（08-26：事件记录/报告归档/风险预警/到期提醒≥30天，全部并入 V1.0）。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三、需求理解与业务规则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3.1 需求原文与四大特征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原始需求逐字收录见《P1-R01-A02-原始需求记录》（含拆解 R1~R6 与提出背景）。核心特征：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宽口径入库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：一接触项目即入库——收到 BP 就建档，不做任何前置筛选；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过程留痕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：项目沿投资流程推进时，系统记录每个阶段的时间节点；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未投闭环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：项目在任何阶段放弃，记录「放弃时所处阶段 + 不投原因」后归档；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已投闭环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：投后管理全量记录，直至项目退出、基金清算/注销，系统记录方为终态。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3.2 项目十二个阶段：投前管道 → 投资执行与设立 → 投后与退出（08-26 沟通会定稿）</w:t>
      </w:r>
    </w:p>
    <w:p>
      <w:pPr>
        <w:spacing w:after="0"/>
        <w:ind w:left="2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① 接触/收 BP ──→ ② 线上路演 ──→ ③ 保密协议签署 ──→ ④ 尽调资料包 / 现场访谈</w:t>
      </w:r>
    </w:p>
    <w:p>
      <w:pPr>
        <w:spacing w:after="0"/>
        <w:ind w:left="2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──→ ⑤ 立项 ──→ ⑥ 投资人路演（新增）──→ ⑦ 投决 ──→ ⑧ 出资</w:t>
      </w:r>
    </w:p>
    <w:p>
      <w:pPr>
        <w:spacing w:after="0"/>
        <w:ind w:left="2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──→ ⑨ 基金设立（显式入链）──→ ⑩ 投后管理（持续）──→ ⑪ 项目退出 ──→ ⑫ 基金清算注销（终态）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会前十阶段口径（"看 BP 初筛""听路演"为独立阶段、退出与清算合并）已于 08-26 修订为上述十二阶段（附件2 5.1）：③ 保密协议签署显式入链；④ 存在两条路径——签保密协议后对方直接发资料包，或先现场访谈、确认跟进后再发资料包；⑥ 投资人路演为新增节点；⑨ 基金设立显式入链；⑪ 项目退出与 ⑫ 基金清算注销拆分为两阶段，退出段为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三段递进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（项目退出 → 收益分配 → 基金清算注销，见 4.1）。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放弃节点 7 个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（覆盖①②④⑤⑥⑦，③保密协议环节无放弃点；新增"投资人路演后放弃"）：看 BP 后不看 / 线上路演后 / 现场访谈后 / 收到尽调资料后 / 立项时（老板否决）/ 投资人路演后 / 投决时——各节点原因实例见附件2 5.2。放弃后项目进入"未投归档"；过了 ⑧ 出资即无"放弃"，沿 ⑨ 记录至 ⑫ 终态。</w:t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术语口径（全项目统一）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：十二个阶段按行业通识分三段——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投前管道（①~⑦，Pipeline/Deal Flow）→ 投资执行与设立（⑧~⑨）→ 投后与退出（⑩~⑫，Portfolio/Exit）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。分层用词：对外/文档用「投前管道」「投后管理」；系统菜单用业务动作词——「项目跟进」（投前）、「投后时间线 / 投后文档」等（管段）。投资部口径的区分特征——投前管道 = 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宽口径入库（BP 即进）+ 七个放弃节点留痕 + 不投原因结构化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；投后管理 = 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全量记录直至基金清算/注销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（而非项目退出）。标准状态标签（10 个）：BP接收 / 路演完成 / 保密协议签署 / 尽调启动 / 立项通过 / 投决通过 / 已出资 / 投后管理 / 已退出 / 已注销，支持按放弃原因快速筛选统计。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3.3 核心业务规则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规则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最低入库门槛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收到 BP 即建项目档案；BP 原件作为首个入库材料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阶段流转留时间戳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每次阶段推进记录发生时间，形成项目时间线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未投项目：节点 + 原因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放弃时记录所处阶段（自动带出时间戳）+ 不投原因；归档后可检索、可统计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已投项目：投后全记录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投后内容范围按行业标准数据建模（Q6 已确认），参照投后监控专项产品（iLevel/Solovis 等）的字段与报表实践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终态 = 清算/注销基金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生命周期终点锚定在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基金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维度（清算、注销），而非仅项目退出——系统需有基金实体与项目-基金关联（Q7 已确认：20+ 只基金、单基金单项目为基准、预留 1:N）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退出三段递进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项目退出（分批次登记）→ 收益分配（按 LP 约定比例核算）→ 基金清算注销（所投项目全部退出后启动），不可合并或省略（08-26）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材料逻辑包归档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材料按 BP 包 / 路演纪要 / 尽调资料包 / 投决包 / 基金设立文件 / 投后资料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强制分类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，替代通用附件堆砌（治现有 CRM 三大缺陷，08-26）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N8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到期前置提醒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对赌协议到期、回购触发、关键条款履约/资质续期等，前置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≥30 天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系统提醒（08-26）</w:t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四、功能规划与版本规划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4.1 功能模块总览（九模块，08-26 沟通会后定稿）</w:t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功能架构图（四层 × 段位 × 全量菜单，V1.0/V2.0 与 R 标注）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见 1.1 图 2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 及《P1-R01-F02-功能架构图》，属结论性核心内容已前置至第一节。行业通用模块结构为「募投管退四段 + 支撑层」（源自 A01 第 2.5 节竞品模块普查）；本节九模块覆盖"募/投/管/退 + 支撑"（Q11 已确认募段极简纳入，08-26）。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段位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功能要点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项目档案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建档（BP 上传即建）、基础信息（字段按行业标准数据建模——Q4 已确认）、材料库（按逻辑包强制分类：BP 包/路演纪要/尽调资料包/投决包/基金设立文件/投后资料，08-26）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投前管道（Pipeline）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十二阶段定义与流转（3.2）、时间戳记录、当前状态视图（10 个标准状态标签）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放弃管理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放弃节点选择（7 节点，所处阶段自动带出）、不投原因（预置分类 + 自定义补充——Q5，实例库见附件2 5.2）、归档与检索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投/退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基金实体（有限合伙全称/注册资本/成立日期/注册地、LPA 与工商注册文件上传）、出资记录按基金维度手工维护；20+ 只基金、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单基金单项目为基准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（Q7 已确认，预留 1:N）；已投项目独立归档（LP 协议/工商文件/托管协议/证券户凭证等）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募段·LP 管理（极简）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LP 主体名称/认缴实缴金额/出资时间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文字录入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（一 LP 多主体）、资质材料上传（LPA/主管协议/募集协议）、LP 资格认定（设立基金出资前）；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募集流程/报表（Q11 已确认）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管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四项刚性功能（08-26）：① 事件记录（股东会/董事会决议、重大经营变动、访谈纪要，附件 + 时间戳固化）；② 报告归档（季报/年报/专项报告，手动上传）；③ 风险预警（二级市场股价走势、行业舆情定时收集推送，可接企查查/同花顺）；④ 到期提醒（对赌/回购/条款履约/资质续期，前置 ≥30 天）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退出与分配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退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三段递进（08-26，不可合并省略）：①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项目退出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（原"退出登记"更名；类型表单选择：分红/股权转让/IPO 减持等，分批次登记，字段含卖出价格数量/时间节点/本金/收益/收益率）→ ②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收益分配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（按 LP 约定比例核算、分配明细与时间节点、付款记录）→ ③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基金清算注销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（所投项目全部退出后启动：清算报告/资产处置/税务清算/剩余资金分配/工商注销）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统计报表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支撑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阶段漏斗（各阶段转化率/放弃率）、不投原因分布；报表口径先上系统再定（现为半年/年度手工统计，08-26）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权限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支撑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投资部内部 10 人以内（Q1 已确认）；角色 + 菜单级控制（08-26）；多分支机构权限预留（宏兆背景）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基金清算模块的菜单归属（放「投后管理」还是「基金管理」）待定（附件2 5.5 注）；内置六节点在线审批（立项/投决/基金注册/付款/分配/注销）为横切能力，V1.0 交付（见 4.2 与附件4 #29）。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4.2 V1.0（跑通，08-26 确认项全部并入）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17 个功能点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= 原始需求直接要求的 11 个（附件4 编号 #1~8、10、11、17：项目档案三件套、投前管道流转、放弃节点记录、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不投原因结构化分类（市场空白，核心差异化）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、投后基本记录、基金清算终态标记、基础统计漏斗）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+ 08-26 沟通会确认纳入的 6 个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（#14 风险预警、#16 到期提醒≥30天、#18 项目退出、#19 收益分配、#20 募段 LP 极简、#29 六节点在线审批）。原 11 项同步按会议结论加深：十二阶段管道（#3）、7 放弃节点（#5）、材料逻辑包归档（#7）、基金实体 1:1 基准（#17）。逐条对照见《P1-R01-A04-功能清单对照表》。</w:t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版本边界口径（08-26 后）：沟通会确认"要做"的内容（含退出三段递进、投后四项刚性功能、六节点审批、极简募段）一律 V1.0 交付；确认"不做"的见 4.3。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4.3 V2.0（完善，08-26 沟通会后修订）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08-26 确认项并入 V1.0 后，V2.0 剩 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8 个功能点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（#2 标签扩展、#6 两级原因树、#13 投后估值、#23 驾驶舱、#25 数据富化候选、#26 AI 摘要、#27 MCP Server/API、#28 移动端），另含 #29 简道云 OA 嵌入方式深化：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深化方向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：估值管理、两级原因树、标签体系、驾驶舱/组合看板、移动端、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MCP Server 接口（对外协同 · 见第六节）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、AI 摘要（经 MCP）、数据富化（候选）；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确认不做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（08-26）：财报自动收集（手动上传即可）、委派董事管理、尽调模板（尽调以向公司索取资料包 + 现场访谈为主）、LP 门户/IR 汇报（无募集流程/报表）、机构管理模块（暂缓，无实际使用需求）；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系统边界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（Q10 已确认）：不与财务/OA/外部监管系统强制打通，仅内部项目台账；外部联动经 WorkBuddy（MCP）调用项目库与企查查/同花顺等。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五、市场品类与竞品对标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5.1 品类命名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本系统在市场上的正式品类为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股权投资管理系统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（PE/VC Investment Management System），亦称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投资机构业务管理系统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基金投资全生命周期管理系统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。需求表述与行业术语的对应：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原始需求表述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行业术语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收到 BP 就丢进去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Deal Flow / 项目管道管理（Pipeline Management），宽口径入库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记录放弃的时间节点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阶段管理 + 漏斗转化（Funnel）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记录不投的原因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Pass Reason（不投/淘汰原因分类）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投后全部内容记录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投后管理（Portfolio Monitoring）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直至清算、注销基金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基金生命周期 + 退出管理（Fund Lifecycle / Exit）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需求虽为口语化表述，但恰好构成该品类的标准形态（宽口径入库 + 阶段留痕 + 不投原因结构化 + 投后闭环），自建时可按品类最佳实践补齐字段（如项目来源渠道、赛道标签、接触人数、下次跟进提醒等）。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5.2 竞品/对标产品清单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阵营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代表产品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特点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对本项目的参考价值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VC/PE CRM（轻量、管道为核心）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Affinity、DealCloud（Intapp 旗下）、4Degrees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「项目库」标准形态：关系智能 + Deal Flow，SaaS 为主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字段设计、漏斗视图、不投原因分类树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机构级 Front-to-Back（重、全流程）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eFront（BlackRock 旗下）、Dynamo、Allvue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募投管退全链路：基金台账、估值、LP 汇报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基金维度建模（Q7）、投后模块深度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投后监控专项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iLevel（Diligent 旗下）、Solovis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投后数据收集、估值、组合分析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投后报表与定期报告设计（Q6）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国内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鲸准、VC800/PEPM、璞华易投、元粟、慧投VC、蓝凌 VCPE、投资云、恒生电子、投中锴思、清科系、IT桔子、烯牛数据等 12 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四层结构：垂直 SaaS / 企业级私有化项目制 / 生态协同 / 金融 IT 巨头与数据服务派；其中鲸准、恒生、璞华易投、VC800、蓝凌、投资云 6 家为全量竞品档案，市场全景对比表见A01 第二章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国内使用习惯与中文化；私有化 + 投后到清算在国内有成熟供给（含金融 IT 龙头恒生），功能设计可直接参照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清单基于公开市场信息整理（该赛道并购频繁，引用时需核实各产品最新归属与合规情况）。功能层详细分析（10 家全量档案 / 功能矩阵 / 定价模式 / 设计启示）见《P1-R01-A01-竞品分析》。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5.3 竞品分析核心结论（详见A01 V3.2）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需求契合度 Top3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：蓝凌 VCPE（高·全场最高——唯一明示"基金清算分配/业绩核算"模块，与"直至注销基金"直接对口）、璞华易投（高——"储备项目管理"最贴"BP 丢进去"）、VC800（中高——母基金场景契合 Q7）；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不投原因结构化记录（Pass Reason）为全市场空白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（10 家全量档案无一做成一等公民）→ 自建的核心差异化；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需求后半段（投后到清算）国内产品供给成熟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（璞华/蓝凌/恒生）→ 自建后段可直接参照其模块设计（基金清算分配、业绩核算、投后报表），降低自行摸索成本；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不走第三方采购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（Q2 已确认）→ 无需 RFP 询价；竞品的价值在于功能架构参照（Q9 对标国内主流产品），不投原因结构化这一亮点买不来、自己建成差异化。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六、与 AI 知识库项目的关系（已确认：相互独立，Q3）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经 Q3 确认：本系统与 AI 知识库项目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相互独立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建设——独立部署、独立账号体系，不共用技术底座。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协同机制（接口级 · 松耦合）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：两系统各自暴露 MCP Server，由知识库侧 Harness 统一调用（当前按其倾向的 WorkBuddy 路线，前提与来源见尾注），实现跨系统协同（如 BP 自动摘要入库、结合项目管道数据的投研问答）——数据不出各自系统、不共用底座与账号，独立性不受影响；项目库侧的 MCP Server 接口（对外暴露项目/管道数据）列入 V2.0 / 技术方案范围。总体架构见《P1-R01-F02-功能架构图》底部外部系统块。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原评估过的三个整合方向及结论：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方向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BP 的 AI 处理（调用知识库侧文档解析/摘要能力生成项目速览）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不采用深度集成，经 MCP 协同实现（见上）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同服务器部署、统一账号体系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不采用（独立部署、独立账号）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项目库的 BP/尽调资料同步进入知识库供问答检索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不采用批量同步（按需经 MCP 检索调用）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协同机制为 2026-08-25 讨论确认的补充结论（Q3 答复"独立"之外的协同方式）；按知识库项目当前倾向的 WorkBuddy 路线（其方案B）展开，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该选型定稿前本机制为方向性结论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——若知识库最终选自建 Harness，由自建 Harness 承担调用、机制不变；具体接口清单随技术方案细化。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七、风险清单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说明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关联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R1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trike/>
                <w:color w:val="6B7280"/>
                <w:sz w:val="18"/>
                <w:szCs w:val="18"/>
              </w:rPr>
              <w:t xml:space="preserve">剩余需求口径未确认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已关闭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（08-26）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Q1~Q11 全部答复完毕（第八节）；残留小项：① 基金清算模块菜单归属待定（投后 vs 基金管理，附件2 5.5 注）；② 不投原因预置清单待业务提供（Q5 尾巴）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第八节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R2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自建工期与维护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自建上线最慢（分期）；行业最佳实践需自行补齐（以竞品功能架构为参照可降低风险），长期维护依赖开发资源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R3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数据迁移与对接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现有表格（Excel）数据迁移工作量未评估（Q9 已确认现状为表格管理）；对接口径已定（Q10）：不与财务/OA 强制打通、内置审批嵌入简道云 OA——简道云嵌入方式与集成细节待技术验证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Q9/Q10</w:t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八、待确认问题清单</w:t>
      </w: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2026-08-25 业务答复 Q1~Q6、Q8、Q9 共 8 项；</w:t>
      </w: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2026-08-26 投资部需求沟通会确认剩余 Q7/Q10/Q11——至此 Q1~Q11 全部答复完毕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（Q7/Q10/Q11 细化内容与原文出处见附件2 第四节/第五节）。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问题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答复（2026-08-25）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为什么重要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使用范围与规模：投资部几人使用？是否有领导层/中后台/外部 GP 相关方？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10 人以内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决定权限模型与并发规格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部署形态：是否与知识库项目同要求（公司服务器私有化、数据不出域）？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私有化部署；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不走第三方采购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——竞品仅作功能架构参照，成本只计自建人天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决定技术方案边界与成本口径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与 AI 知识库系统的关系：独立 / 集成 / 共用底座？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独立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决定架构与开发量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项目档案字段：BP 之外需记录什么（估值、拟投金额、轮次、赛道标签…）？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按行业标准数据建模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数据模型设计输入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不投原因的标准分类：请业务给出原因清单（如估值过高/赛道不符/团队问题/合规风险…），是否允许自由补充？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预置分类选项 + 允许自定义补充（预置清单待业务提供）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结构化才能统计，是本系统的核心价值点之一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投后管理内容范围：事件？定期报告（季报/年报）？董事会？证照与合同？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按行业标准数据建模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决定投后模块的深度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基金维度：管理几支基金？项目-基金是单基金还是多基金投资同一项目？清算/注销在系统里如何表示？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✅（08-26）境内外共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20+ 只基金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、将持续新设；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单基金单项目为基准架构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（一个基金投一个项目，禁止跨基金混投），未来不排除单基金投多项目（极少，约一两个基金，预留 1:N）；基金实体字段见附件2 5.3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数据模型可定稿：基金实体 + 1:1 项目-基金关联为基准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提醒/预警：投后定期跟进提醒、关键节点到期提醒是否需要？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需要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影响排期与依赖（通知渠道）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现状与对标：目前用什么管（Excel/飞书）？有无希望对标的产品？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 目前使用表格管理；对标国内主流产品（参考附件1 契合度分析）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了解习惯与预期，避免重复建设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与现有系统对接：OA、财务、基金估值系统等是否需要互通？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✅（08-26）不与财务/OA/外部监管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强制打通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，仅内部项目台账；需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内置在线审批六节点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（立项/投决/基金注册/付款/分配/注销），可独立运行或嵌入简道云 OA「投资产业」板块作"投资项目管理"子目录；另经 WorkBuddy（MCP）调用项目库与企查查/同花顺等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接口边界明确；新增内置审批模块（嵌入方式待技术验证）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Q11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是否需要"募"段功能（LP 资格认定/出资管理/IR 汇报）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✅（08-26）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极简募集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：LP 主体名称/出资金额/出资时间文字录入（一 LP 多主体）+ 资质材料上传（LPA/主管协议/募集协议）+ LP 资格认定（设立基金出资前）；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募集流程/报表模块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募段纳入但极简（附件4 #20 纳入、#21 LP 门户/IR 不做）</w:t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九、下一步行动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业务确认（已全部完成）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：Q1~Q6/Q8/Q9 于 2026-08-25 确认、Q7/Q10/Q11 于 2026-08-26 沟通会确认（本报告 V1.3 已回填）；残留小项：不投原因预置清单（找投资经理整理，附件2 5.2 实例库为素材）、基金清算模块菜单归属；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竞品分析（已完成，结论口径随 Q2 更新为 V3.1）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：《P1-R01-A01-竞品分析》——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10 家全量竞品档案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（4 国际 + 6 国内，含部署形态/优势劣势/竞争策略/需求契合度，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按契合度降序排列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：蓝凌 &gt; 璞华易投 &gt; VC800 &gt; …）+ 6 家国内概览 + 市场全景对比表 + 国际 18 维/国内 10 维双功能矩阵 + 设计启示；定位为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功能架构参照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（不走采购，Q2）；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功能清单与设计文档（已产出，待评审）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：《P1-R01-A04-功能清单对照表》已按 08-26 结论修订；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功能调研三件套（P2-R01-D01 项目阶段流转与操作流程图 / D02 数据建模：ER + 15 实体字段表 / D03 功能菜单与字段清单：菜单树 + 21 页面）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已产出，作为原型与开发输入——阶段2 主输出物为《P2-R01-产品需求文档》，文档编码规则见 PRD 附录；待办（08-26 会议明确）：嘉怡和胡博以 D03 为底稿对接细化菜单/字段/原型；胡博牵头协同陈有、华悦确认基金设立与投后模块字段与流程细节（D02 3.5~3.12）；向华悦同步投后四模块业务规则（D01 2.3）；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技术方案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：私有化部署 + 独立系统（Q2/Q3 已确认），输出架构设计与</w:t>
      </w: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自建人天估算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（成本唯一构成）；含简道云 OA 嵌入方式验证（Q10）；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数据迁移方案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：现有表格（Excel）项目数据迁移至系统（Q9 已确认现状）；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本报告已迭代至 V1.3；《P1-R01-A02-原始需求记录》需求演变（第四节）与沟通会细化（第五节）同步在案，后续变更以会议结论滚动更新。</w:t>
      </w:r>
    </w:p>
    <w:p>
      <w:pPr>
        <w:pBdr>
          <w:bottom w:val="single" w:color="DDDDDD" w:sz="4" w:space="4"/>
        </w:pBdr>
        <w:spacing w:after="16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11827"/>
          <w:sz w:val="27"/>
          <w:szCs w:val="27"/>
        </w:rPr>
        <w:t xml:space="preserve">附录：文件组织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文件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P1-R01-A01-竞品分析.md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V3.2：市场概览（两阵营 + 国内四层 + 5 形态）、10 家全量档案（按契合度降序）、国际 18 维/国内 10 维双矩阵、定价模式、设计启示、方法论（结论口径按 Q2"不走采购"更新）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P1-R01-A02-原始需求记录.md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原始需求逐字收录、拆解 R1~R6、提出背景（宏兆集团基金背景检索）、需求演变（Q1~Q11 答复记录）与 08-26 沟通会细化（十二阶段/退出三段/投后四项/募段极简/六节点审批/逻辑包归档）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P1-R02-术语表.md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投资业务与部署术语（08-26 增补：保密协议、投资人路演、收益分配、单基金单项目、简道云、六节点审批、逻辑包归档等）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P1-R01-A04-功能清单对照表.md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29 功能点按募投管退 + 支撑分组，五列对照（行业全量/竞品佐证/V1.0/V2.0/备注）；08-26 修订：确认项并入 V1.0（11→17 点）、不做项移出、Q7/Q10/Q11 备注回填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P1-R01-F01-类型架构对比图.html / .png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三线并列架构对比图（方案A/B/C），含段位流转、放弃分支、支撑挂接三类箭头语义；08-26 修订：方案C 募段由"待确认"改"极简确认"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P1-R01-F02-功能架构图.html / .png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投资部需求功能架构图（四层：用户/应用功能/支撑/平台与集成），标注 V1.0/V2.0；08-26 修订：募段确认、尽调模板/委派董事移出、退出三段递进、Q7/Q10/Q11 待确认标注解除，含底部外部 AI 知识库协同块</w:t>
            </w:r>
          </w:p>
        </w:tc>
      </w:tr>
    </w:tbl>
    <w:p>
      <w:pPr>
        <w:spacing w:after="120"/>
      </w:pPr>
    </w:p>
    <w:p>
      <w:pPr>
        <w:pBdr>
          <w:left w:val="single" w:color="C9A84C" w:sz="12" w:space="8"/>
        </w:pBdr>
        <w:spacing w:after="60"/>
        <w:ind w:left="340"/>
      </w:pPr>
      <w:r>
        <w:rPr>
          <w:rFonts w:ascii="Microsoft YaHei" w:cs="Microsoft YaHei" w:eastAsia="Microsoft YaHei" w:hAnsi="Microsoft YaHei"/>
          <w:b/>
          <w:bCs/>
          <w:color w:val="4B5563"/>
          <w:sz w:val="19"/>
          <w:szCs w:val="19"/>
        </w:rPr>
        <w:t xml:space="preserve">阶段2 文档（功能调研，2026-08-26 起）</w:t>
      </w:r>
      <w:r>
        <w:rPr>
          <w:rFonts w:ascii="Microsoft YaHei" w:cs="Microsoft YaHei" w:eastAsia="Microsoft YaHei" w:hAnsi="Microsoft YaHei"/>
          <w:color w:val="4B5563"/>
          <w:sz w:val="19"/>
          <w:szCs w:val="19"/>
        </w:rPr>
        <w:t xml:space="preserve">：主文档《P2-R01-产品需求文档》+ 设计文档 P2-R01-D01（项目阶段流转与操作流程图）/ D02（数据建模）/ D03（功能菜单与字段清单）+ 配图 P2-F01~F06——按「Pn·类型码序号」编码，文件清单与编码规则见 PRD 附录第十节；后续阶段（P3 原型、P4 技术方案）按此规则顺延。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P1-R01-方案分析报告 V1.3 ·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Microsoft YaHei" w:cs="Microsoft YaHei" w:eastAsia="Microsoft YaHei" w:hAnsi="Microsoft YaHei"/>
      <w:b/>
      <w:bCs/>
      <w:color w:val="111827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11827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70397248dd958cace8da8e5d49f0bf67f7f843.png"/><Relationship Id="rId10" Type="http://schemas.openxmlformats.org/officeDocument/2006/relationships/image" Target="media/12c380c0a736437103080d0f6b83296412cbe53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2026-08-27T03:04:46.761Z</dcterms:created>
  <dcterms:modified xsi:type="dcterms:W3CDTF">2026-08-27T03:04:46.762Z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