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CD43" w14:textId="77777777" w:rsidR="00532E33" w:rsidRDefault="00532E33" w:rsidP="00532E33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532E33">
        <w:rPr>
          <w:rFonts w:ascii="黑体" w:eastAsia="黑体" w:hAnsi="黑体" w:hint="eastAsia"/>
          <w:b/>
          <w:bCs/>
          <w:sz w:val="32"/>
          <w:szCs w:val="32"/>
        </w:rPr>
        <w:t>风险管理计划</w:t>
      </w:r>
    </w:p>
    <w:p w14:paraId="243F5480" w14:textId="4135C755" w:rsidR="00532E33" w:rsidRPr="00532E33" w:rsidRDefault="00532E33" w:rsidP="00532E33">
      <w:pPr>
        <w:pStyle w:val="1"/>
        <w:rPr>
          <w:rFonts w:ascii="黑体" w:eastAsia="黑体" w:hAnsi="黑体"/>
          <w:bCs/>
          <w:sz w:val="32"/>
          <w:szCs w:val="32"/>
        </w:rPr>
      </w:pPr>
      <w:r w:rsidRPr="00532E33">
        <w:t>（一）风险管理目标</w:t>
      </w:r>
    </w:p>
    <w:p w14:paraId="2C9988F8" w14:textId="77777777" w:rsidR="00532E33" w:rsidRPr="00532E33" w:rsidRDefault="00532E33" w:rsidP="00532E33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全面识别项目执行过程中的潜在风险（技术、进度、安全、资源等），明确风险等级和影响范围。</w:t>
      </w:r>
    </w:p>
    <w:p w14:paraId="19285D1A" w14:textId="77777777" w:rsidR="00532E33" w:rsidRPr="00532E33" w:rsidRDefault="00532E33" w:rsidP="00532E33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制定科学合理的风险应对策略和措施，提前防范或降低风险发生概率及影响程度。</w:t>
      </w:r>
    </w:p>
    <w:p w14:paraId="3C885B1A" w14:textId="77777777" w:rsidR="00532E33" w:rsidRPr="00532E33" w:rsidRDefault="00532E33" w:rsidP="00532E33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建立风险动态跟踪机制，及时更新风险状态，确保风险可控，保障项目按计划推进。</w:t>
      </w:r>
    </w:p>
    <w:p w14:paraId="561BD82D" w14:textId="77777777" w:rsidR="00532E33" w:rsidRDefault="00532E33" w:rsidP="00532E33">
      <w:pPr>
        <w:rPr>
          <w:rStyle w:val="10"/>
        </w:rPr>
      </w:pPr>
      <w:r w:rsidRPr="00532E33">
        <w:rPr>
          <w:rFonts w:ascii="Times New Roman" w:eastAsia="宋体" w:hAnsi="Times New Roman"/>
        </w:rPr>
        <w:t>（</w:t>
      </w:r>
      <w:r w:rsidRPr="00532E33">
        <w:rPr>
          <w:rStyle w:val="10"/>
        </w:rPr>
        <w:t>二）风险管理责任分工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08"/>
        <w:gridCol w:w="6588"/>
      </w:tblGrid>
      <w:tr w:rsidR="00532E33" w14:paraId="17AEF053" w14:textId="77777777" w:rsidTr="002D4B2A">
        <w:tc>
          <w:tcPr>
            <w:tcW w:w="0" w:type="auto"/>
            <w:vAlign w:val="center"/>
          </w:tcPr>
          <w:p w14:paraId="0240AAF2" w14:textId="514BEC15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</w:tcPr>
          <w:p w14:paraId="05EAB1AD" w14:textId="68ACD05F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b/>
                <w:bCs/>
              </w:rPr>
              <w:t>风险管理责任</w:t>
            </w:r>
          </w:p>
        </w:tc>
      </w:tr>
      <w:tr w:rsidR="00532E33" w14:paraId="29FEC984" w14:textId="77777777" w:rsidTr="002D4B2A">
        <w:tc>
          <w:tcPr>
            <w:tcW w:w="0" w:type="auto"/>
            <w:vAlign w:val="center"/>
          </w:tcPr>
          <w:p w14:paraId="2D466CA5" w14:textId="48C2B82F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rStyle w:val="af5"/>
              </w:rPr>
              <w:t>项目经理</w:t>
            </w:r>
          </w:p>
        </w:tc>
        <w:tc>
          <w:tcPr>
            <w:tcW w:w="0" w:type="auto"/>
            <w:vAlign w:val="center"/>
          </w:tcPr>
          <w:p w14:paraId="01C2D1FF" w14:textId="7120BD96" w:rsidR="00532E33" w:rsidRDefault="00532E33" w:rsidP="00532E33">
            <w:pPr>
              <w:rPr>
                <w:rStyle w:val="10"/>
                <w:rFonts w:hint="eastAsia"/>
              </w:rPr>
            </w:pPr>
            <w:r>
              <w:t>主导风险识别、评估；制定应对策略；组织风险评审；审批应对措施</w:t>
            </w:r>
          </w:p>
        </w:tc>
      </w:tr>
      <w:tr w:rsidR="00532E33" w14:paraId="55F4B2A9" w14:textId="77777777" w:rsidTr="002D4B2A">
        <w:tc>
          <w:tcPr>
            <w:tcW w:w="0" w:type="auto"/>
            <w:vAlign w:val="center"/>
          </w:tcPr>
          <w:p w14:paraId="2E858CAF" w14:textId="10160D85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rStyle w:val="af5"/>
              </w:rPr>
              <w:t>前端开发工程师</w:t>
            </w:r>
          </w:p>
        </w:tc>
        <w:tc>
          <w:tcPr>
            <w:tcW w:w="0" w:type="auto"/>
            <w:vAlign w:val="center"/>
          </w:tcPr>
          <w:p w14:paraId="5472DF7D" w14:textId="39115BB1" w:rsidR="00532E33" w:rsidRDefault="00532E33" w:rsidP="00532E33">
            <w:pPr>
              <w:rPr>
                <w:rStyle w:val="10"/>
                <w:rFonts w:hint="eastAsia"/>
              </w:rPr>
            </w:pPr>
            <w:r>
              <w:t>识别前端相关风险（兼容性、前端性能）；执行前端风险应对措施；上报新增风险</w:t>
            </w:r>
          </w:p>
        </w:tc>
      </w:tr>
      <w:tr w:rsidR="00532E33" w14:paraId="2B176F62" w14:textId="77777777" w:rsidTr="002D4B2A">
        <w:tc>
          <w:tcPr>
            <w:tcW w:w="0" w:type="auto"/>
            <w:vAlign w:val="center"/>
          </w:tcPr>
          <w:p w14:paraId="2776E34D" w14:textId="69F76DDD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rStyle w:val="af5"/>
              </w:rPr>
              <w:t>后端开发工程师</w:t>
            </w:r>
          </w:p>
        </w:tc>
        <w:tc>
          <w:tcPr>
            <w:tcW w:w="0" w:type="auto"/>
            <w:vAlign w:val="center"/>
          </w:tcPr>
          <w:p w14:paraId="16FAB5A6" w14:textId="543EABF3" w:rsidR="00532E33" w:rsidRDefault="00532E33" w:rsidP="00532E33">
            <w:pPr>
              <w:rPr>
                <w:rStyle w:val="10"/>
                <w:rFonts w:hint="eastAsia"/>
              </w:rPr>
            </w:pPr>
            <w:r>
              <w:t>识别后端相关风险（API 集成、并发性能）；执行后端风险应对措施；上报新增风险</w:t>
            </w:r>
          </w:p>
        </w:tc>
      </w:tr>
      <w:tr w:rsidR="00532E33" w14:paraId="3B895B7D" w14:textId="77777777" w:rsidTr="002D4B2A">
        <w:tc>
          <w:tcPr>
            <w:tcW w:w="0" w:type="auto"/>
            <w:vAlign w:val="center"/>
          </w:tcPr>
          <w:p w14:paraId="3D18C06B" w14:textId="75CC12CB" w:rsidR="00532E33" w:rsidRDefault="00532E33" w:rsidP="00532E33">
            <w:pPr>
              <w:rPr>
                <w:rStyle w:val="10"/>
                <w:rFonts w:hint="eastAsia"/>
              </w:rPr>
            </w:pPr>
            <w:r>
              <w:rPr>
                <w:rStyle w:val="af5"/>
              </w:rPr>
              <w:t>测试 / 运维工程师</w:t>
            </w:r>
          </w:p>
        </w:tc>
        <w:tc>
          <w:tcPr>
            <w:tcW w:w="0" w:type="auto"/>
            <w:vAlign w:val="center"/>
          </w:tcPr>
          <w:p w14:paraId="799A9D16" w14:textId="497133DB" w:rsidR="00532E33" w:rsidRDefault="00532E33" w:rsidP="00532E33">
            <w:pPr>
              <w:rPr>
                <w:rStyle w:val="10"/>
                <w:rFonts w:hint="eastAsia"/>
              </w:rPr>
            </w:pPr>
            <w:r>
              <w:t>识别测试、运维、安全风险；执行</w:t>
            </w:r>
            <w:proofErr w:type="gramStart"/>
            <w:r>
              <w:t>安全运维风险</w:t>
            </w:r>
            <w:proofErr w:type="gramEnd"/>
            <w:r>
              <w:t>应对措施；跟踪处理效果</w:t>
            </w:r>
          </w:p>
        </w:tc>
      </w:tr>
    </w:tbl>
    <w:p w14:paraId="6F0BA6C2" w14:textId="77777777" w:rsidR="00532E33" w:rsidRPr="00532E33" w:rsidRDefault="00532E33" w:rsidP="00532E33">
      <w:pPr>
        <w:rPr>
          <w:rStyle w:val="10"/>
          <w:rFonts w:hint="eastAsia"/>
        </w:rPr>
      </w:pPr>
    </w:p>
    <w:p w14:paraId="32E3F604" w14:textId="77777777" w:rsidR="00532E33" w:rsidRDefault="00532E33" w:rsidP="00532E33">
      <w:pPr>
        <w:pStyle w:val="1"/>
      </w:pPr>
      <w:r w:rsidRPr="00532E33">
        <w:t>（三）风险登记册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9"/>
        <w:gridCol w:w="816"/>
        <w:gridCol w:w="1066"/>
        <w:gridCol w:w="542"/>
        <w:gridCol w:w="500"/>
        <w:gridCol w:w="500"/>
        <w:gridCol w:w="500"/>
        <w:gridCol w:w="535"/>
        <w:gridCol w:w="1967"/>
        <w:gridCol w:w="776"/>
        <w:gridCol w:w="585"/>
      </w:tblGrid>
      <w:tr w:rsidR="00532E33" w14:paraId="61442A89" w14:textId="77777777" w:rsidTr="00B00EEE">
        <w:tc>
          <w:tcPr>
            <w:tcW w:w="0" w:type="auto"/>
            <w:vAlign w:val="center"/>
          </w:tcPr>
          <w:p w14:paraId="3A84E588" w14:textId="7F41279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风险 ID</w:t>
            </w:r>
          </w:p>
        </w:tc>
        <w:tc>
          <w:tcPr>
            <w:tcW w:w="0" w:type="auto"/>
            <w:vAlign w:val="center"/>
          </w:tcPr>
          <w:p w14:paraId="17666102" w14:textId="01991D2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风险名称</w:t>
            </w:r>
          </w:p>
        </w:tc>
        <w:tc>
          <w:tcPr>
            <w:tcW w:w="0" w:type="auto"/>
            <w:vAlign w:val="center"/>
          </w:tcPr>
          <w:p w14:paraId="4DA451F5" w14:textId="69FF614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风险描述</w:t>
            </w:r>
          </w:p>
        </w:tc>
        <w:tc>
          <w:tcPr>
            <w:tcW w:w="0" w:type="auto"/>
            <w:vAlign w:val="center"/>
          </w:tcPr>
          <w:p w14:paraId="33E901BE" w14:textId="0543453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风险类别</w:t>
            </w:r>
          </w:p>
        </w:tc>
        <w:tc>
          <w:tcPr>
            <w:tcW w:w="0" w:type="auto"/>
            <w:vAlign w:val="center"/>
          </w:tcPr>
          <w:p w14:paraId="0CF4926B" w14:textId="00C360A5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发生概率</w:t>
            </w:r>
          </w:p>
        </w:tc>
        <w:tc>
          <w:tcPr>
            <w:tcW w:w="0" w:type="auto"/>
            <w:vAlign w:val="center"/>
          </w:tcPr>
          <w:p w14:paraId="1DA1D5C9" w14:textId="625F519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影响程度</w:t>
            </w:r>
          </w:p>
        </w:tc>
        <w:tc>
          <w:tcPr>
            <w:tcW w:w="0" w:type="auto"/>
            <w:vAlign w:val="center"/>
          </w:tcPr>
          <w:p w14:paraId="64933B5C" w14:textId="7DCACC4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风险等级</w:t>
            </w:r>
          </w:p>
        </w:tc>
        <w:tc>
          <w:tcPr>
            <w:tcW w:w="0" w:type="auto"/>
            <w:vAlign w:val="center"/>
          </w:tcPr>
          <w:p w14:paraId="7F59333A" w14:textId="680C8A3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应对策略</w:t>
            </w:r>
          </w:p>
        </w:tc>
        <w:tc>
          <w:tcPr>
            <w:tcW w:w="0" w:type="auto"/>
            <w:vAlign w:val="center"/>
          </w:tcPr>
          <w:p w14:paraId="1C0F2D1C" w14:textId="441FAE68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具体应对措施</w:t>
            </w:r>
          </w:p>
        </w:tc>
        <w:tc>
          <w:tcPr>
            <w:tcW w:w="0" w:type="auto"/>
            <w:vAlign w:val="center"/>
          </w:tcPr>
          <w:p w14:paraId="0D425A86" w14:textId="0E72B5B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责任人</w:t>
            </w:r>
          </w:p>
        </w:tc>
        <w:tc>
          <w:tcPr>
            <w:tcW w:w="0" w:type="auto"/>
            <w:vAlign w:val="center"/>
          </w:tcPr>
          <w:p w14:paraId="459787DE" w14:textId="61B29AA0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rPr>
                <w:b/>
                <w:bCs/>
              </w:rPr>
              <w:t>监控方式</w:t>
            </w:r>
          </w:p>
        </w:tc>
      </w:tr>
      <w:tr w:rsidR="00532E33" w14:paraId="70C0674A" w14:textId="77777777" w:rsidTr="00B00EEE">
        <w:tc>
          <w:tcPr>
            <w:tcW w:w="0" w:type="auto"/>
            <w:vAlign w:val="center"/>
          </w:tcPr>
          <w:p w14:paraId="0F20B046" w14:textId="1BE2E835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R1</w:t>
            </w:r>
          </w:p>
        </w:tc>
        <w:tc>
          <w:tcPr>
            <w:tcW w:w="0" w:type="auto"/>
            <w:vAlign w:val="center"/>
          </w:tcPr>
          <w:p w14:paraId="7417337C" w14:textId="6AF30B4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第三方 API 准确率 / 稳定性问题</w:t>
            </w:r>
          </w:p>
        </w:tc>
        <w:tc>
          <w:tcPr>
            <w:tcW w:w="0" w:type="auto"/>
            <w:vAlign w:val="center"/>
          </w:tcPr>
          <w:p w14:paraId="391F15E2" w14:textId="09055ED8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翻译 / OCR API 准确率低或故障，导致服务中断</w:t>
            </w:r>
          </w:p>
        </w:tc>
        <w:tc>
          <w:tcPr>
            <w:tcW w:w="0" w:type="auto"/>
            <w:vAlign w:val="center"/>
          </w:tcPr>
          <w:p w14:paraId="78974010" w14:textId="2E143E3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技术风险</w:t>
            </w:r>
          </w:p>
        </w:tc>
        <w:tc>
          <w:tcPr>
            <w:tcW w:w="0" w:type="auto"/>
            <w:vAlign w:val="center"/>
          </w:tcPr>
          <w:p w14:paraId="5D819228" w14:textId="59A485B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4ED0FB8C" w14:textId="17AAE2B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424EFCBB" w14:textId="11C7B45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6B4267B9" w14:textId="355F0444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减轻 + 备用</w:t>
            </w:r>
          </w:p>
        </w:tc>
        <w:tc>
          <w:tcPr>
            <w:tcW w:w="0" w:type="auto"/>
            <w:vAlign w:val="center"/>
          </w:tcPr>
          <w:p w14:paraId="6D922395" w14:textId="19336C30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集成 2 家 API 互为备份； 2. 设置监控与阈值，触发后自动切换； 3. 签订 SLA 协议明确故障响应时限</w:t>
            </w:r>
          </w:p>
        </w:tc>
        <w:tc>
          <w:tcPr>
            <w:tcW w:w="0" w:type="auto"/>
            <w:vAlign w:val="center"/>
          </w:tcPr>
          <w:p w14:paraId="1A6C033E" w14:textId="64CA2BD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后端开发工程师</w:t>
            </w:r>
          </w:p>
        </w:tc>
        <w:tc>
          <w:tcPr>
            <w:tcW w:w="0" w:type="auto"/>
            <w:vAlign w:val="center"/>
          </w:tcPr>
          <w:p w14:paraId="3CC51B98" w14:textId="3B012FC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每日查看监控数据</w:t>
            </w:r>
          </w:p>
        </w:tc>
      </w:tr>
      <w:tr w:rsidR="00532E33" w14:paraId="1E04A962" w14:textId="77777777" w:rsidTr="00B00EEE">
        <w:tc>
          <w:tcPr>
            <w:tcW w:w="0" w:type="auto"/>
            <w:vAlign w:val="center"/>
          </w:tcPr>
          <w:p w14:paraId="20477041" w14:textId="37938AA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R2</w:t>
            </w:r>
          </w:p>
        </w:tc>
        <w:tc>
          <w:tcPr>
            <w:tcW w:w="0" w:type="auto"/>
            <w:vAlign w:val="center"/>
          </w:tcPr>
          <w:p w14:paraId="6FAA3684" w14:textId="323A6DC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前后端接口不</w:t>
            </w:r>
            <w:r>
              <w:lastRenderedPageBreak/>
              <w:t>一致</w:t>
            </w:r>
          </w:p>
        </w:tc>
        <w:tc>
          <w:tcPr>
            <w:tcW w:w="0" w:type="auto"/>
            <w:vAlign w:val="center"/>
          </w:tcPr>
          <w:p w14:paraId="6FFA5C0A" w14:textId="0692279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对接口规范理解偏</w:t>
            </w:r>
            <w:r>
              <w:lastRenderedPageBreak/>
              <w:t>差，导致联调延迟</w:t>
            </w:r>
          </w:p>
        </w:tc>
        <w:tc>
          <w:tcPr>
            <w:tcW w:w="0" w:type="auto"/>
            <w:vAlign w:val="center"/>
          </w:tcPr>
          <w:p w14:paraId="72A9CFA9" w14:textId="30066DFB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协作风</w:t>
            </w:r>
            <w:r>
              <w:lastRenderedPageBreak/>
              <w:t>险</w:t>
            </w:r>
          </w:p>
        </w:tc>
        <w:tc>
          <w:tcPr>
            <w:tcW w:w="0" w:type="auto"/>
            <w:vAlign w:val="center"/>
          </w:tcPr>
          <w:p w14:paraId="7790731D" w14:textId="01B5F5A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中</w:t>
            </w:r>
          </w:p>
        </w:tc>
        <w:tc>
          <w:tcPr>
            <w:tcW w:w="0" w:type="auto"/>
            <w:vAlign w:val="center"/>
          </w:tcPr>
          <w:p w14:paraId="7B9D0EF3" w14:textId="3C9DB560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3538460" w14:textId="0943F614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460A39B5" w14:textId="0F440B5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 xml:space="preserve">预防 + </w:t>
            </w:r>
            <w:r>
              <w:lastRenderedPageBreak/>
              <w:t>减轻</w:t>
            </w:r>
          </w:p>
        </w:tc>
        <w:tc>
          <w:tcPr>
            <w:tcW w:w="0" w:type="auto"/>
            <w:vAlign w:val="center"/>
          </w:tcPr>
          <w:p w14:paraId="11549EA3" w14:textId="4074240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 xml:space="preserve">1. 共同制定接口规范并签字确认； 2. Swagger </w:t>
            </w:r>
            <w:r>
              <w:lastRenderedPageBreak/>
              <w:t>实时同步文档； 3. 开发初期开展接口联调测试</w:t>
            </w:r>
          </w:p>
        </w:tc>
        <w:tc>
          <w:tcPr>
            <w:tcW w:w="0" w:type="auto"/>
            <w:vAlign w:val="center"/>
          </w:tcPr>
          <w:p w14:paraId="76568A6F" w14:textId="42962FE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前端 + 后端开</w:t>
            </w:r>
            <w:r>
              <w:lastRenderedPageBreak/>
              <w:t>发工程师</w:t>
            </w:r>
          </w:p>
        </w:tc>
        <w:tc>
          <w:tcPr>
            <w:tcW w:w="0" w:type="auto"/>
            <w:vAlign w:val="center"/>
          </w:tcPr>
          <w:p w14:paraId="7109BF81" w14:textId="16B970B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每周联</w:t>
            </w:r>
            <w:r>
              <w:lastRenderedPageBreak/>
              <w:t>调会议同步</w:t>
            </w:r>
          </w:p>
        </w:tc>
      </w:tr>
      <w:tr w:rsidR="00532E33" w14:paraId="7EDEE296" w14:textId="77777777" w:rsidTr="00B00EEE">
        <w:tc>
          <w:tcPr>
            <w:tcW w:w="0" w:type="auto"/>
            <w:vAlign w:val="center"/>
          </w:tcPr>
          <w:p w14:paraId="33E2CF45" w14:textId="6325D93F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lastRenderedPageBreak/>
              <w:t>R3</w:t>
            </w:r>
          </w:p>
        </w:tc>
        <w:tc>
          <w:tcPr>
            <w:tcW w:w="0" w:type="auto"/>
            <w:vAlign w:val="center"/>
          </w:tcPr>
          <w:p w14:paraId="1F366C86" w14:textId="3E0C2BA4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用户数据泄露风险</w:t>
            </w:r>
          </w:p>
        </w:tc>
        <w:tc>
          <w:tcPr>
            <w:tcW w:w="0" w:type="auto"/>
            <w:vAlign w:val="center"/>
          </w:tcPr>
          <w:p w14:paraId="05EE1E16" w14:textId="73F2FFA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用户信息、翻译数据被泄露或篡改</w:t>
            </w:r>
          </w:p>
        </w:tc>
        <w:tc>
          <w:tcPr>
            <w:tcW w:w="0" w:type="auto"/>
            <w:vAlign w:val="center"/>
          </w:tcPr>
          <w:p w14:paraId="1B04D775" w14:textId="4C478C8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安全风险</w:t>
            </w:r>
          </w:p>
        </w:tc>
        <w:tc>
          <w:tcPr>
            <w:tcW w:w="0" w:type="auto"/>
            <w:vAlign w:val="center"/>
          </w:tcPr>
          <w:p w14:paraId="23CA7674" w14:textId="6FE6FA78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292EF68A" w14:textId="0B23CF3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09B4E108" w14:textId="77D17A7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7B299BA9" w14:textId="3A5459B6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预防 + 应急</w:t>
            </w:r>
          </w:p>
        </w:tc>
        <w:tc>
          <w:tcPr>
            <w:tcW w:w="0" w:type="auto"/>
            <w:vAlign w:val="center"/>
          </w:tcPr>
          <w:p w14:paraId="0645A599" w14:textId="5102685E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密码加密存储、HTTPS 传输； 2. 数据脱敏处理，限制访问权限； 3. 安全渗透测试与审计</w:t>
            </w:r>
          </w:p>
        </w:tc>
        <w:tc>
          <w:tcPr>
            <w:tcW w:w="0" w:type="auto"/>
            <w:vAlign w:val="center"/>
          </w:tcPr>
          <w:p w14:paraId="38EE9428" w14:textId="646AC26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测试 / 运维工程师 + 后端开发工程师</w:t>
            </w:r>
          </w:p>
        </w:tc>
        <w:tc>
          <w:tcPr>
            <w:tcW w:w="0" w:type="auto"/>
            <w:vAlign w:val="center"/>
          </w:tcPr>
          <w:p w14:paraId="33B69780" w14:textId="6EB0C49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每季度安全自查</w:t>
            </w:r>
          </w:p>
        </w:tc>
      </w:tr>
      <w:tr w:rsidR="00532E33" w14:paraId="340642C9" w14:textId="77777777" w:rsidTr="00B00EEE">
        <w:tc>
          <w:tcPr>
            <w:tcW w:w="0" w:type="auto"/>
            <w:vAlign w:val="center"/>
          </w:tcPr>
          <w:p w14:paraId="47A79392" w14:textId="0E734A5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R4</w:t>
            </w:r>
          </w:p>
        </w:tc>
        <w:tc>
          <w:tcPr>
            <w:tcW w:w="0" w:type="auto"/>
            <w:vAlign w:val="center"/>
          </w:tcPr>
          <w:p w14:paraId="02D52448" w14:textId="77F707B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需求变更频繁</w:t>
            </w:r>
          </w:p>
        </w:tc>
        <w:tc>
          <w:tcPr>
            <w:tcW w:w="0" w:type="auto"/>
            <w:vAlign w:val="center"/>
          </w:tcPr>
          <w:p w14:paraId="45DD8246" w14:textId="5AF03F8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甲方频繁提变更，导致工期成本增加</w:t>
            </w:r>
          </w:p>
        </w:tc>
        <w:tc>
          <w:tcPr>
            <w:tcW w:w="0" w:type="auto"/>
            <w:vAlign w:val="center"/>
          </w:tcPr>
          <w:p w14:paraId="5DDB8009" w14:textId="4DC26A5F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范围风险</w:t>
            </w:r>
          </w:p>
        </w:tc>
        <w:tc>
          <w:tcPr>
            <w:tcW w:w="0" w:type="auto"/>
            <w:vAlign w:val="center"/>
          </w:tcPr>
          <w:p w14:paraId="48CBCA7C" w14:textId="3677A52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4D23E27E" w14:textId="27081041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4B4E7BE" w14:textId="7B6458D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5B2B5A69" w14:textId="53B11808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规避 + 控制</w:t>
            </w:r>
          </w:p>
        </w:tc>
        <w:tc>
          <w:tcPr>
            <w:tcW w:w="0" w:type="auto"/>
            <w:vAlign w:val="center"/>
          </w:tcPr>
          <w:p w14:paraId="293847B0" w14:textId="4BF3C25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明确需求边界并签署确认单； 2. 变更需书面申请并评估影响； 3. 重大变更签订补充协议</w:t>
            </w:r>
          </w:p>
        </w:tc>
        <w:tc>
          <w:tcPr>
            <w:tcW w:w="0" w:type="auto"/>
            <w:vAlign w:val="center"/>
          </w:tcPr>
          <w:p w14:paraId="6F22E0BC" w14:textId="6173A93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项目经理</w:t>
            </w:r>
          </w:p>
        </w:tc>
        <w:tc>
          <w:tcPr>
            <w:tcW w:w="0" w:type="auto"/>
            <w:vAlign w:val="center"/>
          </w:tcPr>
          <w:p w14:paraId="2814762C" w14:textId="2D2ECD5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变更记录存档跟踪</w:t>
            </w:r>
          </w:p>
        </w:tc>
      </w:tr>
      <w:tr w:rsidR="00532E33" w14:paraId="1DBA8206" w14:textId="77777777" w:rsidTr="00B00EEE">
        <w:tc>
          <w:tcPr>
            <w:tcW w:w="0" w:type="auto"/>
            <w:vAlign w:val="center"/>
          </w:tcPr>
          <w:p w14:paraId="6F3CF9D3" w14:textId="778844D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R5</w:t>
            </w:r>
          </w:p>
        </w:tc>
        <w:tc>
          <w:tcPr>
            <w:tcW w:w="0" w:type="auto"/>
            <w:vAlign w:val="center"/>
          </w:tcPr>
          <w:p w14:paraId="11490792" w14:textId="41C5DBD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并发性能不达标</w:t>
            </w:r>
          </w:p>
        </w:tc>
        <w:tc>
          <w:tcPr>
            <w:tcW w:w="0" w:type="auto"/>
            <w:vAlign w:val="center"/>
          </w:tcPr>
          <w:p w14:paraId="39B41F84" w14:textId="5E8F00E5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无法支撑每秒 100 + 并发，响应时间超 2 秒</w:t>
            </w:r>
          </w:p>
        </w:tc>
        <w:tc>
          <w:tcPr>
            <w:tcW w:w="0" w:type="auto"/>
            <w:vAlign w:val="center"/>
          </w:tcPr>
          <w:p w14:paraId="4E29DCA0" w14:textId="2F2249D4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性能风险</w:t>
            </w:r>
          </w:p>
        </w:tc>
        <w:tc>
          <w:tcPr>
            <w:tcW w:w="0" w:type="auto"/>
            <w:vAlign w:val="center"/>
          </w:tcPr>
          <w:p w14:paraId="3701BF84" w14:textId="51770E6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591CF92D" w14:textId="5F713F3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47902577" w14:textId="1693161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7FFA1234" w14:textId="23C36CE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预防 + 减轻</w:t>
            </w:r>
          </w:p>
        </w:tc>
        <w:tc>
          <w:tcPr>
            <w:tcW w:w="0" w:type="auto"/>
            <w:vAlign w:val="center"/>
          </w:tcPr>
          <w:p w14:paraId="37995C23" w14:textId="1B3515F6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采用缓存、异步处理等优化方案； 2. 测试阶段</w:t>
            </w:r>
            <w:proofErr w:type="gramStart"/>
            <w:r>
              <w:t>模拟高</w:t>
            </w:r>
            <w:proofErr w:type="gramEnd"/>
            <w:r>
              <w:t>并发压力测试； 3. 生产环境预留资源冗余</w:t>
            </w:r>
          </w:p>
        </w:tc>
        <w:tc>
          <w:tcPr>
            <w:tcW w:w="0" w:type="auto"/>
            <w:vAlign w:val="center"/>
          </w:tcPr>
          <w:p w14:paraId="11707F50" w14:textId="5E983B8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后端开发工程师 + 测试 / 运维工程师</w:t>
            </w:r>
          </w:p>
        </w:tc>
        <w:tc>
          <w:tcPr>
            <w:tcW w:w="0" w:type="auto"/>
            <w:vAlign w:val="center"/>
          </w:tcPr>
          <w:p w14:paraId="23D0D650" w14:textId="112FCC76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性能测试全程监控</w:t>
            </w:r>
          </w:p>
        </w:tc>
      </w:tr>
      <w:tr w:rsidR="00532E33" w14:paraId="2E3265F6" w14:textId="77777777" w:rsidTr="00B00EEE">
        <w:tc>
          <w:tcPr>
            <w:tcW w:w="0" w:type="auto"/>
            <w:vAlign w:val="center"/>
          </w:tcPr>
          <w:p w14:paraId="171AD42F" w14:textId="71C3835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R6</w:t>
            </w:r>
          </w:p>
        </w:tc>
        <w:tc>
          <w:tcPr>
            <w:tcW w:w="0" w:type="auto"/>
            <w:vAlign w:val="center"/>
          </w:tcPr>
          <w:p w14:paraId="7B4AC4CB" w14:textId="74935EF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浏览器 / 移动端兼容性问题</w:t>
            </w:r>
          </w:p>
        </w:tc>
        <w:tc>
          <w:tcPr>
            <w:tcW w:w="0" w:type="auto"/>
            <w:vAlign w:val="center"/>
          </w:tcPr>
          <w:p w14:paraId="7E6CA903" w14:textId="54AF6EB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前端页面在部分设备上显示异常、功能失效</w:t>
            </w:r>
          </w:p>
        </w:tc>
        <w:tc>
          <w:tcPr>
            <w:tcW w:w="0" w:type="auto"/>
            <w:vAlign w:val="center"/>
          </w:tcPr>
          <w:p w14:paraId="299CCF4D" w14:textId="693750D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技术风险</w:t>
            </w:r>
          </w:p>
        </w:tc>
        <w:tc>
          <w:tcPr>
            <w:tcW w:w="0" w:type="auto"/>
            <w:vAlign w:val="center"/>
          </w:tcPr>
          <w:p w14:paraId="7FC99682" w14:textId="0A25840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39FFBC0" w14:textId="5C46C94C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5B89DEC6" w14:textId="22A550C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53342CAB" w14:textId="3B180EC0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预防 + 减轻</w:t>
            </w:r>
          </w:p>
        </w:tc>
        <w:tc>
          <w:tcPr>
            <w:tcW w:w="0" w:type="auto"/>
            <w:vAlign w:val="center"/>
          </w:tcPr>
          <w:p w14:paraId="13A274B0" w14:textId="24FAA149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明确适配标准，采用兼容语法； 2. 测试覆盖主流浏览器与移动端； 3. 收集反馈持续优化</w:t>
            </w:r>
          </w:p>
        </w:tc>
        <w:tc>
          <w:tcPr>
            <w:tcW w:w="0" w:type="auto"/>
            <w:vAlign w:val="center"/>
          </w:tcPr>
          <w:p w14:paraId="5A63523C" w14:textId="3E0A3693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前端开发工程师 + 测试 / 运维工程师</w:t>
            </w:r>
          </w:p>
        </w:tc>
        <w:tc>
          <w:tcPr>
            <w:tcW w:w="0" w:type="auto"/>
            <w:vAlign w:val="center"/>
          </w:tcPr>
          <w:p w14:paraId="2F56C0E2" w14:textId="28DC8310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兼容性</w:t>
            </w:r>
            <w:proofErr w:type="gramStart"/>
            <w:r>
              <w:t>测试全</w:t>
            </w:r>
            <w:proofErr w:type="gramEnd"/>
            <w:r>
              <w:t>覆盖</w:t>
            </w:r>
          </w:p>
        </w:tc>
      </w:tr>
      <w:tr w:rsidR="00532E33" w14:paraId="5A88924A" w14:textId="77777777" w:rsidTr="00B00EEE">
        <w:tc>
          <w:tcPr>
            <w:tcW w:w="0" w:type="auto"/>
            <w:vAlign w:val="center"/>
          </w:tcPr>
          <w:p w14:paraId="5E7E4942" w14:textId="2E9CD89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R7</w:t>
            </w:r>
          </w:p>
        </w:tc>
        <w:tc>
          <w:tcPr>
            <w:tcW w:w="0" w:type="auto"/>
            <w:vAlign w:val="center"/>
          </w:tcPr>
          <w:p w14:paraId="2DCD6057" w14:textId="522E52FA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核心开发人员离职</w:t>
            </w:r>
          </w:p>
        </w:tc>
        <w:tc>
          <w:tcPr>
            <w:tcW w:w="0" w:type="auto"/>
            <w:vAlign w:val="center"/>
          </w:tcPr>
          <w:p w14:paraId="3AF5AAA5" w14:textId="56322227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前后端核心开发人员离职，导致工作中断</w:t>
            </w:r>
          </w:p>
        </w:tc>
        <w:tc>
          <w:tcPr>
            <w:tcW w:w="0" w:type="auto"/>
            <w:vAlign w:val="center"/>
          </w:tcPr>
          <w:p w14:paraId="7DA048E4" w14:textId="5C550A2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人力资源风险</w:t>
            </w:r>
          </w:p>
        </w:tc>
        <w:tc>
          <w:tcPr>
            <w:tcW w:w="0" w:type="auto"/>
            <w:vAlign w:val="center"/>
          </w:tcPr>
          <w:p w14:paraId="09194193" w14:textId="45729DA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低</w:t>
            </w:r>
          </w:p>
        </w:tc>
        <w:tc>
          <w:tcPr>
            <w:tcW w:w="0" w:type="auto"/>
            <w:vAlign w:val="center"/>
          </w:tcPr>
          <w:p w14:paraId="28F569DD" w14:textId="59161D2D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高</w:t>
            </w:r>
          </w:p>
        </w:tc>
        <w:tc>
          <w:tcPr>
            <w:tcW w:w="0" w:type="auto"/>
            <w:vAlign w:val="center"/>
          </w:tcPr>
          <w:p w14:paraId="69EB055F" w14:textId="406A3292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中</w:t>
            </w:r>
          </w:p>
        </w:tc>
        <w:tc>
          <w:tcPr>
            <w:tcW w:w="0" w:type="auto"/>
            <w:vAlign w:val="center"/>
          </w:tcPr>
          <w:p w14:paraId="7839EF4A" w14:textId="4522E21B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预防 + 应急</w:t>
            </w:r>
          </w:p>
        </w:tc>
        <w:tc>
          <w:tcPr>
            <w:tcW w:w="0" w:type="auto"/>
            <w:vAlign w:val="center"/>
          </w:tcPr>
          <w:p w14:paraId="619DEBA8" w14:textId="66490231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1. 签订保密协议，做好知识共享； 2. 核心代码定期 review，文档规范； 3. 储备外部技术支持资源</w:t>
            </w:r>
          </w:p>
        </w:tc>
        <w:tc>
          <w:tcPr>
            <w:tcW w:w="0" w:type="auto"/>
            <w:vAlign w:val="center"/>
          </w:tcPr>
          <w:p w14:paraId="02667CF4" w14:textId="19E61095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项目经理</w:t>
            </w:r>
          </w:p>
        </w:tc>
        <w:tc>
          <w:tcPr>
            <w:tcW w:w="0" w:type="auto"/>
            <w:vAlign w:val="center"/>
          </w:tcPr>
          <w:p w14:paraId="30D445DA" w14:textId="2A16E47E" w:rsidR="00532E33" w:rsidRDefault="00532E33" w:rsidP="00532E33">
            <w:pPr>
              <w:rPr>
                <w:rFonts w:ascii="Times New Roman" w:eastAsia="宋体" w:hAnsi="Times New Roman" w:hint="eastAsia"/>
              </w:rPr>
            </w:pPr>
            <w:r>
              <w:t>定期与团队沟通</w:t>
            </w:r>
          </w:p>
        </w:tc>
      </w:tr>
    </w:tbl>
    <w:p w14:paraId="4D5D43F0" w14:textId="77777777" w:rsidR="00532E33" w:rsidRPr="00532E33" w:rsidRDefault="00532E33" w:rsidP="00532E33">
      <w:pPr>
        <w:pStyle w:val="1"/>
      </w:pPr>
      <w:r w:rsidRPr="00532E33">
        <w:lastRenderedPageBreak/>
        <w:t>（四）风险矩阵</w:t>
      </w:r>
    </w:p>
    <w:p w14:paraId="0E042FAC" w14:textId="77777777" w:rsidR="00532E33" w:rsidRDefault="00532E33" w:rsidP="00532E33">
      <w:pPr>
        <w:rPr>
          <w:rFonts w:ascii="Times New Roman" w:eastAsia="宋体" w:hAnsi="Times New Roman"/>
          <w:b/>
          <w:bCs/>
        </w:rPr>
      </w:pPr>
      <w:r w:rsidRPr="00532E33">
        <w:rPr>
          <w:rFonts w:ascii="Times New Roman" w:eastAsia="宋体" w:hAnsi="Times New Roman"/>
          <w:b/>
          <w:bCs/>
        </w:rPr>
        <w:t xml:space="preserve">1. </w:t>
      </w:r>
      <w:r w:rsidRPr="00532E33">
        <w:rPr>
          <w:rFonts w:ascii="Times New Roman" w:eastAsia="宋体" w:hAnsi="Times New Roman"/>
          <w:b/>
          <w:bCs/>
        </w:rPr>
        <w:t>风险评估维度定义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54"/>
        <w:gridCol w:w="655"/>
        <w:gridCol w:w="2662"/>
        <w:gridCol w:w="2581"/>
        <w:gridCol w:w="1744"/>
      </w:tblGrid>
      <w:tr w:rsidR="00992BA0" w14:paraId="4C4D1D57" w14:textId="77777777">
        <w:tc>
          <w:tcPr>
            <w:tcW w:w="0" w:type="auto"/>
          </w:tcPr>
          <w:p w14:paraId="624000E8" w14:textId="34F46850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维度</w:t>
            </w:r>
          </w:p>
        </w:tc>
        <w:tc>
          <w:tcPr>
            <w:tcW w:w="0" w:type="auto"/>
          </w:tcPr>
          <w:p w14:paraId="4C6FB14D" w14:textId="4C0C19BD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等级划分</w:t>
            </w:r>
          </w:p>
        </w:tc>
        <w:tc>
          <w:tcPr>
            <w:tcW w:w="0" w:type="auto"/>
          </w:tcPr>
          <w:p w14:paraId="73F1BBD3" w14:textId="01290E2E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判定标准</w:t>
            </w:r>
          </w:p>
        </w:tc>
        <w:tc>
          <w:tcPr>
            <w:tcW w:w="0" w:type="auto"/>
          </w:tcPr>
          <w:p w14:paraId="1BBF7A3A" w14:textId="77777777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</w:p>
        </w:tc>
        <w:tc>
          <w:tcPr>
            <w:tcW w:w="0" w:type="auto"/>
          </w:tcPr>
          <w:p w14:paraId="1BC0BE31" w14:textId="77777777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</w:p>
        </w:tc>
      </w:tr>
      <w:tr w:rsidR="00992BA0" w14:paraId="3353410C" w14:textId="77777777">
        <w:tc>
          <w:tcPr>
            <w:tcW w:w="0" w:type="auto"/>
          </w:tcPr>
          <w:p w14:paraId="456B6DA5" w14:textId="5FFAA8E4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发生概率</w:t>
            </w:r>
          </w:p>
        </w:tc>
        <w:tc>
          <w:tcPr>
            <w:tcW w:w="0" w:type="auto"/>
          </w:tcPr>
          <w:p w14:paraId="455A2104" w14:textId="112ABB48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高</w:t>
            </w:r>
          </w:p>
        </w:tc>
        <w:tc>
          <w:tcPr>
            <w:tcW w:w="0" w:type="auto"/>
          </w:tcPr>
          <w:p w14:paraId="2DB17AA2" w14:textId="702DAC38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≥70%</w:t>
            </w:r>
            <w:r w:rsidRPr="00992BA0">
              <w:rPr>
                <w:rFonts w:ascii="Times New Roman" w:eastAsia="宋体" w:hAnsi="Times New Roman"/>
              </w:rPr>
              <w:t>；中</w:t>
            </w:r>
          </w:p>
        </w:tc>
        <w:tc>
          <w:tcPr>
            <w:tcW w:w="0" w:type="auto"/>
          </w:tcPr>
          <w:p w14:paraId="0CBA6D13" w14:textId="1E8020DA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30%-70%</w:t>
            </w:r>
            <w:r w:rsidRPr="00992BA0">
              <w:rPr>
                <w:rFonts w:ascii="Times New Roman" w:eastAsia="宋体" w:hAnsi="Times New Roman"/>
              </w:rPr>
              <w:t>；低</w:t>
            </w:r>
          </w:p>
        </w:tc>
        <w:tc>
          <w:tcPr>
            <w:tcW w:w="0" w:type="auto"/>
          </w:tcPr>
          <w:p w14:paraId="66F72BAC" w14:textId="554B7E2C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≤30%</w:t>
            </w:r>
          </w:p>
        </w:tc>
      </w:tr>
      <w:tr w:rsidR="00992BA0" w14:paraId="6B63EAFA" w14:textId="77777777">
        <w:tc>
          <w:tcPr>
            <w:tcW w:w="0" w:type="auto"/>
          </w:tcPr>
          <w:p w14:paraId="1BF341DA" w14:textId="1EBBB285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影响程度</w:t>
            </w:r>
          </w:p>
        </w:tc>
        <w:tc>
          <w:tcPr>
            <w:tcW w:w="0" w:type="auto"/>
          </w:tcPr>
          <w:p w14:paraId="5E320F87" w14:textId="7FAAD793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高</w:t>
            </w:r>
          </w:p>
        </w:tc>
        <w:tc>
          <w:tcPr>
            <w:tcW w:w="0" w:type="auto"/>
          </w:tcPr>
          <w:p w14:paraId="418A84E3" w14:textId="5E0DC3F6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延期</w:t>
            </w:r>
            <w:r w:rsidRPr="00992BA0">
              <w:rPr>
                <w:rFonts w:ascii="Times New Roman" w:eastAsia="宋体" w:hAnsi="Times New Roman"/>
              </w:rPr>
              <w:t xml:space="preserve">≥10 </w:t>
            </w:r>
            <w:r w:rsidRPr="00992BA0">
              <w:rPr>
                <w:rFonts w:ascii="Times New Roman" w:eastAsia="宋体" w:hAnsi="Times New Roman"/>
              </w:rPr>
              <w:t>天或成本增加</w:t>
            </w:r>
            <w:r w:rsidRPr="00992BA0">
              <w:rPr>
                <w:rFonts w:ascii="Times New Roman" w:eastAsia="宋体" w:hAnsi="Times New Roman"/>
              </w:rPr>
              <w:t xml:space="preserve">≥10% </w:t>
            </w:r>
            <w:r w:rsidRPr="00992BA0">
              <w:rPr>
                <w:rFonts w:ascii="Times New Roman" w:eastAsia="宋体" w:hAnsi="Times New Roman"/>
              </w:rPr>
              <w:t>或严重安全事故；中</w:t>
            </w:r>
          </w:p>
        </w:tc>
        <w:tc>
          <w:tcPr>
            <w:tcW w:w="0" w:type="auto"/>
          </w:tcPr>
          <w:p w14:paraId="7A18BFF1" w14:textId="3EADC9B8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延期</w:t>
            </w:r>
            <w:r w:rsidRPr="00992BA0">
              <w:rPr>
                <w:rFonts w:ascii="Times New Roman" w:eastAsia="宋体" w:hAnsi="Times New Roman"/>
              </w:rPr>
              <w:t xml:space="preserve"> 5-10 </w:t>
            </w:r>
            <w:r w:rsidRPr="00992BA0">
              <w:rPr>
                <w:rFonts w:ascii="Times New Roman" w:eastAsia="宋体" w:hAnsi="Times New Roman"/>
              </w:rPr>
              <w:t>天或成本增加</w:t>
            </w:r>
            <w:r w:rsidRPr="00992BA0">
              <w:rPr>
                <w:rFonts w:ascii="Times New Roman" w:eastAsia="宋体" w:hAnsi="Times New Roman"/>
              </w:rPr>
              <w:t xml:space="preserve"> 5%-10%</w:t>
            </w:r>
            <w:r w:rsidRPr="00992BA0">
              <w:rPr>
                <w:rFonts w:ascii="Times New Roman" w:eastAsia="宋体" w:hAnsi="Times New Roman"/>
              </w:rPr>
              <w:t>；低</w:t>
            </w:r>
          </w:p>
        </w:tc>
        <w:tc>
          <w:tcPr>
            <w:tcW w:w="0" w:type="auto"/>
          </w:tcPr>
          <w:p w14:paraId="22888BB2" w14:textId="2894DDFE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延期</w:t>
            </w:r>
            <w:r w:rsidRPr="00992BA0">
              <w:rPr>
                <w:rFonts w:ascii="Times New Roman" w:eastAsia="宋体" w:hAnsi="Times New Roman"/>
              </w:rPr>
              <w:t xml:space="preserve">≤5 </w:t>
            </w:r>
            <w:r w:rsidRPr="00992BA0">
              <w:rPr>
                <w:rFonts w:ascii="Times New Roman" w:eastAsia="宋体" w:hAnsi="Times New Roman"/>
              </w:rPr>
              <w:t>天或成本增加</w:t>
            </w:r>
            <w:r w:rsidRPr="00992BA0">
              <w:rPr>
                <w:rFonts w:ascii="Times New Roman" w:eastAsia="宋体" w:hAnsi="Times New Roman"/>
              </w:rPr>
              <w:t>≤5%</w:t>
            </w:r>
          </w:p>
        </w:tc>
      </w:tr>
      <w:tr w:rsidR="00992BA0" w14:paraId="65AFFB5E" w14:textId="77777777">
        <w:tc>
          <w:tcPr>
            <w:tcW w:w="0" w:type="auto"/>
          </w:tcPr>
          <w:p w14:paraId="733A6550" w14:textId="6D67BCD4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风险等级</w:t>
            </w:r>
          </w:p>
        </w:tc>
        <w:tc>
          <w:tcPr>
            <w:tcW w:w="0" w:type="auto"/>
          </w:tcPr>
          <w:p w14:paraId="224DAEDE" w14:textId="57F37EEF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高</w:t>
            </w:r>
          </w:p>
        </w:tc>
        <w:tc>
          <w:tcPr>
            <w:tcW w:w="0" w:type="auto"/>
          </w:tcPr>
          <w:p w14:paraId="193A376B" w14:textId="0AC11D77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高概率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高影响、中概率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高影响、高概率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中影响；中</w:t>
            </w:r>
          </w:p>
        </w:tc>
        <w:tc>
          <w:tcPr>
            <w:tcW w:w="0" w:type="auto"/>
          </w:tcPr>
          <w:p w14:paraId="696CC342" w14:textId="2DD9892F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中概率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中影响、高概率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低影响、低概率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高影响；低</w:t>
            </w:r>
          </w:p>
        </w:tc>
        <w:tc>
          <w:tcPr>
            <w:tcW w:w="0" w:type="auto"/>
          </w:tcPr>
          <w:p w14:paraId="0C8BAE72" w14:textId="360D8E32" w:rsidR="00992BA0" w:rsidRPr="00992BA0" w:rsidRDefault="00992BA0" w:rsidP="00532E33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Fonts w:ascii="Times New Roman" w:eastAsia="宋体" w:hAnsi="Times New Roman"/>
              </w:rPr>
              <w:t>低概率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低影响、中概率</w:t>
            </w:r>
            <w:r w:rsidRPr="00992BA0">
              <w:rPr>
                <w:rFonts w:ascii="Times New Roman" w:eastAsia="宋体" w:hAnsi="Times New Roman"/>
              </w:rPr>
              <w:t xml:space="preserve"> + </w:t>
            </w:r>
            <w:r w:rsidRPr="00992BA0">
              <w:rPr>
                <w:rFonts w:ascii="Times New Roman" w:eastAsia="宋体" w:hAnsi="Times New Roman"/>
              </w:rPr>
              <w:t>低影响</w:t>
            </w:r>
          </w:p>
        </w:tc>
      </w:tr>
    </w:tbl>
    <w:p w14:paraId="38C0B0A3" w14:textId="77777777" w:rsidR="00532E33" w:rsidRPr="00532E33" w:rsidRDefault="00532E33" w:rsidP="00532E33">
      <w:pPr>
        <w:rPr>
          <w:rFonts w:ascii="Times New Roman" w:eastAsia="宋体" w:hAnsi="Times New Roman" w:hint="eastAsia"/>
          <w:b/>
          <w:bCs/>
        </w:rPr>
      </w:pPr>
    </w:p>
    <w:p w14:paraId="5F78522D" w14:textId="1F49CB67" w:rsidR="00532E33" w:rsidRPr="00992BA0" w:rsidRDefault="00532E33" w:rsidP="00532E33">
      <w:pPr>
        <w:rPr>
          <w:rFonts w:ascii="Times New Roman" w:eastAsia="宋体" w:hAnsi="Times New Roman" w:hint="eastAsia"/>
          <w:b/>
          <w:bCs/>
        </w:rPr>
      </w:pPr>
      <w:r w:rsidRPr="00532E33">
        <w:rPr>
          <w:rFonts w:ascii="Times New Roman" w:eastAsia="宋体" w:hAnsi="Times New Roman"/>
          <w:b/>
          <w:bCs/>
        </w:rPr>
        <w:t xml:space="preserve">2. </w:t>
      </w:r>
      <w:r w:rsidRPr="00532E33">
        <w:rPr>
          <w:rFonts w:ascii="Times New Roman" w:eastAsia="宋体" w:hAnsi="Times New Roman"/>
          <w:b/>
          <w:bCs/>
        </w:rPr>
        <w:t>风险矩阵</w:t>
      </w:r>
      <w:r w:rsidR="00992BA0" w:rsidRPr="00992BA0">
        <w:rPr>
          <w:rFonts w:ascii="Times New Roman" w:eastAsia="宋体" w:hAnsi="Times New Roman" w:hint="eastAsia"/>
          <w:b/>
          <w:bCs/>
        </w:rPr>
        <w:t>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456"/>
        <w:gridCol w:w="2118"/>
        <w:gridCol w:w="2361"/>
        <w:gridCol w:w="2361"/>
      </w:tblGrid>
      <w:tr w:rsidR="00992BA0" w14:paraId="5AE46B5F" w14:textId="77777777" w:rsidTr="007B7DDB">
        <w:tc>
          <w:tcPr>
            <w:tcW w:w="0" w:type="auto"/>
            <w:vAlign w:val="center"/>
          </w:tcPr>
          <w:p w14:paraId="6E93E08C" w14:textId="18ECED44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发生概率 \ 影响程度</w:t>
            </w:r>
          </w:p>
        </w:tc>
        <w:tc>
          <w:tcPr>
            <w:tcW w:w="0" w:type="auto"/>
            <w:vAlign w:val="center"/>
          </w:tcPr>
          <w:p w14:paraId="3A1A4C74" w14:textId="54570977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高</w:t>
            </w:r>
          </w:p>
        </w:tc>
        <w:tc>
          <w:tcPr>
            <w:tcW w:w="0" w:type="auto"/>
            <w:vAlign w:val="center"/>
          </w:tcPr>
          <w:p w14:paraId="1DF3BFB5" w14:textId="2A130A2D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中</w:t>
            </w:r>
          </w:p>
        </w:tc>
        <w:tc>
          <w:tcPr>
            <w:tcW w:w="0" w:type="auto"/>
            <w:vAlign w:val="center"/>
          </w:tcPr>
          <w:p w14:paraId="2B0E33C2" w14:textId="377A2210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低</w:t>
            </w:r>
          </w:p>
        </w:tc>
      </w:tr>
      <w:tr w:rsidR="00992BA0" w14:paraId="3F407EE9" w14:textId="77777777" w:rsidTr="007B7DDB">
        <w:tc>
          <w:tcPr>
            <w:tcW w:w="0" w:type="auto"/>
            <w:vAlign w:val="center"/>
          </w:tcPr>
          <w:p w14:paraId="07F809CF" w14:textId="63797EC0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Style w:val="af5"/>
                <w:b w:val="0"/>
                <w:bCs w:val="0"/>
              </w:rPr>
              <w:t>高</w:t>
            </w:r>
          </w:p>
        </w:tc>
        <w:tc>
          <w:tcPr>
            <w:tcW w:w="0" w:type="auto"/>
            <w:vAlign w:val="center"/>
          </w:tcPr>
          <w:p w14:paraId="519D0C0F" w14:textId="63F5BA4E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高风险（重点监控，立即措施）</w:t>
            </w:r>
          </w:p>
        </w:tc>
        <w:tc>
          <w:tcPr>
            <w:tcW w:w="0" w:type="auto"/>
            <w:vAlign w:val="center"/>
          </w:tcPr>
          <w:p w14:paraId="10E48EB1" w14:textId="30FC9664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高风险（重点监控，制定措施）</w:t>
            </w:r>
          </w:p>
        </w:tc>
        <w:tc>
          <w:tcPr>
            <w:tcW w:w="0" w:type="auto"/>
            <w:vAlign w:val="center"/>
          </w:tcPr>
          <w:p w14:paraId="2B42DDB7" w14:textId="48962498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中风险（定期监控，准备措施）</w:t>
            </w:r>
          </w:p>
        </w:tc>
      </w:tr>
      <w:tr w:rsidR="00992BA0" w14:paraId="21A19F69" w14:textId="77777777" w:rsidTr="007B7DDB">
        <w:tc>
          <w:tcPr>
            <w:tcW w:w="0" w:type="auto"/>
            <w:vAlign w:val="center"/>
          </w:tcPr>
          <w:p w14:paraId="28518AC9" w14:textId="283EEBA5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Style w:val="af5"/>
                <w:b w:val="0"/>
                <w:bCs w:val="0"/>
              </w:rPr>
              <w:t>中</w:t>
            </w:r>
          </w:p>
        </w:tc>
        <w:tc>
          <w:tcPr>
            <w:tcW w:w="0" w:type="auto"/>
            <w:vAlign w:val="center"/>
          </w:tcPr>
          <w:p w14:paraId="5B460833" w14:textId="45362AF3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高风险（重点监控，立即措施）</w:t>
            </w:r>
          </w:p>
        </w:tc>
        <w:tc>
          <w:tcPr>
            <w:tcW w:w="0" w:type="auto"/>
            <w:vAlign w:val="center"/>
          </w:tcPr>
          <w:p w14:paraId="28B57BCC" w14:textId="6FECF3D6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中风险（定期监控，制定措施）</w:t>
            </w:r>
          </w:p>
        </w:tc>
        <w:tc>
          <w:tcPr>
            <w:tcW w:w="0" w:type="auto"/>
            <w:vAlign w:val="center"/>
          </w:tcPr>
          <w:p w14:paraId="555B10D5" w14:textId="3A50CB5B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低风险（常规监控，无需额外措施）</w:t>
            </w:r>
          </w:p>
        </w:tc>
      </w:tr>
      <w:tr w:rsidR="00992BA0" w14:paraId="43EBC520" w14:textId="77777777" w:rsidTr="007B7DDB">
        <w:tc>
          <w:tcPr>
            <w:tcW w:w="0" w:type="auto"/>
            <w:vAlign w:val="center"/>
          </w:tcPr>
          <w:p w14:paraId="506D456D" w14:textId="1792E48E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rPr>
                <w:rStyle w:val="af5"/>
                <w:b w:val="0"/>
                <w:bCs w:val="0"/>
              </w:rPr>
              <w:t>低</w:t>
            </w:r>
          </w:p>
        </w:tc>
        <w:tc>
          <w:tcPr>
            <w:tcW w:w="0" w:type="auto"/>
            <w:vAlign w:val="center"/>
          </w:tcPr>
          <w:p w14:paraId="0B0D4EFA" w14:textId="757E4B3E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中风险（定期监控，准备措施）</w:t>
            </w:r>
          </w:p>
        </w:tc>
        <w:tc>
          <w:tcPr>
            <w:tcW w:w="0" w:type="auto"/>
            <w:vAlign w:val="center"/>
          </w:tcPr>
          <w:p w14:paraId="189B8146" w14:textId="452114C6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低风险（常规监控，无需额外措施）</w:t>
            </w:r>
          </w:p>
        </w:tc>
        <w:tc>
          <w:tcPr>
            <w:tcW w:w="0" w:type="auto"/>
            <w:vAlign w:val="center"/>
          </w:tcPr>
          <w:p w14:paraId="20BB139A" w14:textId="7511BE76" w:rsidR="00992BA0" w:rsidRPr="00992BA0" w:rsidRDefault="00992BA0" w:rsidP="00992BA0">
            <w:pPr>
              <w:rPr>
                <w:rFonts w:ascii="Times New Roman" w:eastAsia="宋体" w:hAnsi="Times New Roman" w:hint="eastAsia"/>
              </w:rPr>
            </w:pPr>
            <w:r w:rsidRPr="00992BA0">
              <w:t>低风险（常规监控，无需额外措施）</w:t>
            </w:r>
          </w:p>
        </w:tc>
      </w:tr>
    </w:tbl>
    <w:p w14:paraId="7462E57C" w14:textId="77777777" w:rsidR="00992BA0" w:rsidRPr="00532E33" w:rsidRDefault="00992BA0" w:rsidP="00532E33">
      <w:pPr>
        <w:rPr>
          <w:rFonts w:ascii="Times New Roman" w:eastAsia="宋体" w:hAnsi="Times New Roman" w:hint="eastAsia"/>
        </w:rPr>
      </w:pPr>
    </w:p>
    <w:p w14:paraId="0388E71B" w14:textId="77777777" w:rsidR="00532E33" w:rsidRPr="00532E33" w:rsidRDefault="00532E33" w:rsidP="00532E33">
      <w:pPr>
        <w:rPr>
          <w:rFonts w:ascii="Times New Roman" w:eastAsia="宋体" w:hAnsi="Times New Roman"/>
          <w:b/>
          <w:bCs/>
        </w:rPr>
      </w:pPr>
      <w:r w:rsidRPr="00532E33">
        <w:rPr>
          <w:rFonts w:ascii="Times New Roman" w:eastAsia="宋体" w:hAnsi="Times New Roman"/>
          <w:b/>
          <w:bCs/>
        </w:rPr>
        <w:t>（五）风险监控与评审</w:t>
      </w:r>
    </w:p>
    <w:p w14:paraId="3616AE7B" w14:textId="77777777" w:rsidR="00532E33" w:rsidRPr="00532E33" w:rsidRDefault="00532E33" w:rsidP="00532E3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监控频率：项目经理每周在团队会议中同步风险状态，高风险项实时跟踪，中低风险项定期检查。</w:t>
      </w:r>
    </w:p>
    <w:p w14:paraId="1F307CF4" w14:textId="77777777" w:rsidR="00532E33" w:rsidRPr="00532E33" w:rsidRDefault="00532E33" w:rsidP="00532E3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风险评审：每两周结合里程碑评审开展风险评审，评估现有风险状态、应对措施有效性，识别新增风险，更新风险登记册。</w:t>
      </w:r>
    </w:p>
    <w:p w14:paraId="22364F12" w14:textId="77777777" w:rsidR="00532E33" w:rsidRPr="00532E33" w:rsidRDefault="00532E33" w:rsidP="00532E33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风险升级机制：</w:t>
      </w:r>
      <w:proofErr w:type="gramStart"/>
      <w:r w:rsidRPr="00532E33">
        <w:rPr>
          <w:rFonts w:ascii="Times New Roman" w:eastAsia="宋体" w:hAnsi="Times New Roman"/>
        </w:rPr>
        <w:t>若风险</w:t>
      </w:r>
      <w:proofErr w:type="gramEnd"/>
      <w:r w:rsidRPr="00532E33">
        <w:rPr>
          <w:rFonts w:ascii="Times New Roman" w:eastAsia="宋体" w:hAnsi="Times New Roman"/>
        </w:rPr>
        <w:t>等级从低</w:t>
      </w:r>
      <w:r w:rsidRPr="00532E33">
        <w:rPr>
          <w:rFonts w:ascii="Times New Roman" w:eastAsia="宋体" w:hAnsi="Times New Roman"/>
        </w:rPr>
        <w:t xml:space="preserve"> / </w:t>
      </w:r>
      <w:r w:rsidRPr="00532E33">
        <w:rPr>
          <w:rFonts w:ascii="Times New Roman" w:eastAsia="宋体" w:hAnsi="Times New Roman"/>
        </w:rPr>
        <w:t>中升级为高，或应对措施执行无效，项目经理需立即向甲乙双方项目负责人汇报，协商调整应对策略。</w:t>
      </w:r>
    </w:p>
    <w:p w14:paraId="18842262" w14:textId="77777777" w:rsidR="00532E33" w:rsidRPr="00532E33" w:rsidRDefault="00532E33" w:rsidP="00532E33">
      <w:pPr>
        <w:rPr>
          <w:rFonts w:ascii="Times New Roman" w:eastAsia="宋体" w:hAnsi="Times New Roman"/>
          <w:b/>
          <w:bCs/>
        </w:rPr>
      </w:pPr>
      <w:r w:rsidRPr="00532E33">
        <w:rPr>
          <w:rFonts w:ascii="Times New Roman" w:eastAsia="宋体" w:hAnsi="Times New Roman"/>
          <w:b/>
          <w:bCs/>
        </w:rPr>
        <w:t>（六）风险应对资源保障</w:t>
      </w:r>
    </w:p>
    <w:p w14:paraId="2027CFF6" w14:textId="77777777" w:rsidR="00532E33" w:rsidRPr="00532E33" w:rsidRDefault="00532E33" w:rsidP="00532E3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lastRenderedPageBreak/>
        <w:t>人力保障：明确</w:t>
      </w:r>
      <w:proofErr w:type="gramStart"/>
      <w:r w:rsidRPr="00532E33">
        <w:rPr>
          <w:rFonts w:ascii="Times New Roman" w:eastAsia="宋体" w:hAnsi="Times New Roman"/>
        </w:rPr>
        <w:t>各风险</w:t>
      </w:r>
      <w:proofErr w:type="gramEnd"/>
      <w:r w:rsidRPr="00532E33">
        <w:rPr>
          <w:rFonts w:ascii="Times New Roman" w:eastAsia="宋体" w:hAnsi="Times New Roman"/>
        </w:rPr>
        <w:t>应对责任人，确保风险发生时有人牵头处理；储备外部技术支持资源，应对核心人员离职等突发情况。</w:t>
      </w:r>
    </w:p>
    <w:p w14:paraId="3261D959" w14:textId="77777777" w:rsidR="00532E33" w:rsidRPr="00532E33" w:rsidRDefault="00532E33" w:rsidP="00532E3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资金保障：从项目预备金（总预算</w:t>
      </w:r>
      <w:r w:rsidRPr="00532E33">
        <w:rPr>
          <w:rFonts w:ascii="Times New Roman" w:eastAsia="宋体" w:hAnsi="Times New Roman"/>
        </w:rPr>
        <w:t xml:space="preserve"> 5%</w:t>
      </w:r>
      <w:r w:rsidRPr="00532E33">
        <w:rPr>
          <w:rFonts w:ascii="Times New Roman" w:eastAsia="宋体" w:hAnsi="Times New Roman"/>
        </w:rPr>
        <w:t>）中预留风险应对资金，用于服务器扩容、</w:t>
      </w:r>
      <w:r w:rsidRPr="00532E33">
        <w:rPr>
          <w:rFonts w:ascii="Times New Roman" w:eastAsia="宋体" w:hAnsi="Times New Roman"/>
        </w:rPr>
        <w:t xml:space="preserve">API </w:t>
      </w:r>
      <w:r w:rsidRPr="00532E33">
        <w:rPr>
          <w:rFonts w:ascii="Times New Roman" w:eastAsia="宋体" w:hAnsi="Times New Roman"/>
        </w:rPr>
        <w:t>切换、安全整改等。</w:t>
      </w:r>
    </w:p>
    <w:p w14:paraId="6EDC0206" w14:textId="77777777" w:rsidR="00532E33" w:rsidRPr="00532E33" w:rsidRDefault="00532E33" w:rsidP="00532E33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532E33">
        <w:rPr>
          <w:rFonts w:ascii="Times New Roman" w:eastAsia="宋体" w:hAnsi="Times New Roman"/>
        </w:rPr>
        <w:t>技术保障：提前搭建备用</w:t>
      </w:r>
      <w:r w:rsidRPr="00532E33">
        <w:rPr>
          <w:rFonts w:ascii="Times New Roman" w:eastAsia="宋体" w:hAnsi="Times New Roman"/>
        </w:rPr>
        <w:t xml:space="preserve"> API </w:t>
      </w:r>
      <w:r w:rsidRPr="00532E33">
        <w:rPr>
          <w:rFonts w:ascii="Times New Roman" w:eastAsia="宋体" w:hAnsi="Times New Roman"/>
        </w:rPr>
        <w:t>环境、离线缓存功能等应急技术方案，确保风险发生时可快速启用。</w:t>
      </w:r>
    </w:p>
    <w:p w14:paraId="02B9B4BF" w14:textId="09468017" w:rsidR="00532E33" w:rsidRPr="00532E33" w:rsidRDefault="00532E33" w:rsidP="00532E33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532E33" w:rsidRPr="00532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4549" w14:textId="77777777" w:rsidR="007C3261" w:rsidRDefault="007C3261" w:rsidP="00532E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49471E" w14:textId="77777777" w:rsidR="007C3261" w:rsidRDefault="007C3261" w:rsidP="00532E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BFEC" w14:textId="77777777" w:rsidR="007C3261" w:rsidRDefault="007C3261" w:rsidP="00532E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4E6FF8" w14:textId="77777777" w:rsidR="007C3261" w:rsidRDefault="007C3261" w:rsidP="00532E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B6080"/>
    <w:multiLevelType w:val="multilevel"/>
    <w:tmpl w:val="9C5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A3678"/>
    <w:multiLevelType w:val="multilevel"/>
    <w:tmpl w:val="D13E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725E7"/>
    <w:multiLevelType w:val="multilevel"/>
    <w:tmpl w:val="B2E4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B2CC3"/>
    <w:multiLevelType w:val="multilevel"/>
    <w:tmpl w:val="04E2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F684E"/>
    <w:multiLevelType w:val="multilevel"/>
    <w:tmpl w:val="6CDA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E6B34"/>
    <w:multiLevelType w:val="multilevel"/>
    <w:tmpl w:val="CF84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669289">
    <w:abstractNumId w:val="2"/>
  </w:num>
  <w:num w:numId="2" w16cid:durableId="700397500">
    <w:abstractNumId w:val="5"/>
  </w:num>
  <w:num w:numId="3" w16cid:durableId="145557922">
    <w:abstractNumId w:val="3"/>
  </w:num>
  <w:num w:numId="4" w16cid:durableId="1780177363">
    <w:abstractNumId w:val="1"/>
  </w:num>
  <w:num w:numId="5" w16cid:durableId="1982031988">
    <w:abstractNumId w:val="0"/>
  </w:num>
  <w:num w:numId="6" w16cid:durableId="301619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0B"/>
    <w:rsid w:val="000B25CD"/>
    <w:rsid w:val="001A0F46"/>
    <w:rsid w:val="001F5C48"/>
    <w:rsid w:val="002E788F"/>
    <w:rsid w:val="002F1508"/>
    <w:rsid w:val="00367E54"/>
    <w:rsid w:val="004F2D0B"/>
    <w:rsid w:val="00532E33"/>
    <w:rsid w:val="00614EBE"/>
    <w:rsid w:val="007A4B9B"/>
    <w:rsid w:val="007C3261"/>
    <w:rsid w:val="008B0F98"/>
    <w:rsid w:val="00992BA0"/>
    <w:rsid w:val="00A33C8C"/>
    <w:rsid w:val="00D20D1A"/>
    <w:rsid w:val="00D97FC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E4908"/>
  <w15:chartTrackingRefBased/>
  <w15:docId w15:val="{FA720112-ECF3-4765-B3F6-3B461E9C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2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F2D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D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D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2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F2D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2D0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2D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2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2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2D0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F2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F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F2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F2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F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F2D0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F2D0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2D0B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2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F2D0B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4F2D0B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532E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32E3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32E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32E33"/>
    <w:rPr>
      <w:sz w:val="18"/>
      <w:szCs w:val="18"/>
    </w:rPr>
  </w:style>
  <w:style w:type="table" w:styleId="af4">
    <w:name w:val="Table Grid"/>
    <w:basedOn w:val="a1"/>
    <w:uiPriority w:val="39"/>
    <w:rsid w:val="00532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532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1010</Words>
  <Characters>1051</Characters>
  <Application>Microsoft Office Word</Application>
  <DocSecurity>0</DocSecurity>
  <Lines>43</Lines>
  <Paragraphs>46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2026-01-12T09:18:00Z</dcterms:created>
  <dcterms:modified xsi:type="dcterms:W3CDTF">2026-01-12T09:33:00Z</dcterms:modified>
</cp:coreProperties>
</file>