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3"/>
        </w:numPr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范围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本文档适用于D560平台燃料车仪表</w:t>
      </w:r>
    </w:p>
    <w:p>
      <w:pPr>
        <w:pStyle w:val="2"/>
        <w:numPr>
          <w:ilvl w:val="0"/>
          <w:numId w:val="3"/>
        </w:numPr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系统功能介绍</w:t>
      </w: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功能概述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仪表匹配燃电系统，需要实现燃电系统故障、燃料电池冷却液温度过高报警、加氢报警指示、H2泄露报警、氢气SOC、模式切换显示、低温吹扫提醒以及一些文字提醒功能。</w:t>
      </w: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功能清单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燃电系统涉及仪表相关功能清单如下表：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KV1A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1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燃电系统故障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燃料电池冷却液温度过高报警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1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bookmarkStart w:id="3" w:name="_GoBack"/>
            <w:bookmarkEnd w:id="3"/>
            <w:r>
              <w:rPr>
                <w:rFonts w:hint="eastAsia"/>
                <w:lang w:val="en-US" w:eastAsia="zh-CN"/>
              </w:rPr>
              <w:t>加氢报警指示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H2泄露报警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18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氢气SOC</w:t>
            </w:r>
          </w:p>
        </w:tc>
        <w:tc>
          <w:tcPr>
            <w:tcW w:w="1418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</w:tr>
    </w:tbl>
    <w:p>
      <w:pPr>
        <w:rPr>
          <w:lang w:val="en-US" w:eastAsia="zh-CN"/>
        </w:rPr>
      </w:pP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系统功能框图</w:t>
      </w: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针对KV1A车型</w:t>
      </w:r>
    </w:p>
    <w:p>
      <w:pPr>
        <w:rPr>
          <w:lang w:val="en-US" w:eastAsia="zh-CN"/>
        </w:rPr>
      </w:pPr>
      <w:r>
        <w:rPr>
          <w:lang w:val="en-US" w:eastAsia="zh-CN"/>
        </w:rPr>
        <w:pict>
          <v:group id="_x0000_s1047" o:spid="_x0000_s1047" o:spt="203" style="height:212.15pt;width:444.9pt;" coordorigin="1134,6301" coordsize="8898,4243" editas="canvas">
            <o:lock v:ext="edit"/>
            <v:shape id="_x0000_s1048" o:spid="_x0000_s1048" o:spt="75" type="#_x0000_t75" style="position:absolute;left:1134;top:6301;height:4243;width:8898;" filled="f" o:preferrelative="f" stroked="f" coordsize="21600,21600">
              <v:fill on="f" focussize="0,0"/>
              <v:stroke on="f" joinstyle="miter"/>
              <v:imagedata o:title=""/>
              <o:lock v:ext="edit" text="t" aspectratio="t"/>
            </v:shape>
            <v:roundrect id="_x0000_s1050" o:spid="_x0000_s1050" o:spt="2" style="position:absolute;left:4743;top:6422;height:588;width:1715;" fillcolor="#FBD4B4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IC</w:t>
                    </w:r>
                  </w:p>
                </w:txbxContent>
              </v:textbox>
            </v:roundrect>
            <v:shape id="_x0000_s1052" o:spid="_x0000_s1052" o:spt="32" type="#_x0000_t32" style="position:absolute;left:2162;top:7507;height:1;width:6865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053" o:spid="_x0000_s1053" o:spt="32" type="#_x0000_t32" style="position:absolute;left:2162;top:7695;height:1;width:6865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055" o:spid="_x0000_s1055" o:spt="202" type="#_x0000_t202" style="position:absolute;left:1413;top:7396;height:480;width:12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PCAN</w:t>
                    </w:r>
                  </w:p>
                </w:txbxContent>
              </v:textbox>
            </v:shape>
            <v:shape id="_x0000_s1058" o:spid="_x0000_s1058" o:spt="32" type="#_x0000_t32" style="position:absolute;left:5440;top:7010;height:498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060" o:spid="_x0000_s1060" o:spt="32" type="#_x0000_t32" style="position:absolute;left:5661;top:7010;height:685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roundrect id="_x0000_s1061" o:spid="_x0000_s1061" o:spt="2" style="position:absolute;left:3485;top:8208;height:590;width:1715;" fillcolor="#C6D9F1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燃料电池</w:t>
                    </w:r>
                  </w:p>
                </w:txbxContent>
              </v:textbox>
            </v:roundrect>
            <v:shape id="_x0000_s1063" o:spid="_x0000_s1063" o:spt="32" type="#_x0000_t32" style="position:absolute;left:4144;top:7716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064" o:spid="_x0000_s1064" o:spt="32" type="#_x0000_t32" style="position:absolute;left:4341;top:7508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roundrect id="_x0000_s1066" o:spid="_x0000_s1066" o:spt="2" style="position:absolute;left:6353;top:8208;height:590;width:1715;" fillcolor="#C6D9F1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氢气系统</w:t>
                    </w:r>
                  </w:p>
                </w:txbxContent>
              </v:textbox>
            </v:roundrect>
            <v:shape id="_x0000_s1067" o:spid="_x0000_s1067" o:spt="32" type="#_x0000_t32" style="position:absolute;left:7489;top:7523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068" o:spid="_x0000_s1068" o:spt="32" type="#_x0000_t32" style="position:absolute;left:6993;top:7716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w10:wrap type="none"/>
            <w10:anchorlock/>
          </v:group>
        </w:pict>
      </w:r>
    </w:p>
    <w:p>
      <w:pPr>
        <w:pStyle w:val="3"/>
        <w:rPr>
          <w:rFonts w:ascii="Arial" w:hAnsi="Arial" w:cs="Arial"/>
          <w:lang w:val="en-US"/>
        </w:rPr>
      </w:pPr>
      <w:r>
        <w:rPr>
          <w:rFonts w:hint="eastAsia" w:ascii="Arial" w:hAnsi="Arial" w:cs="Arial"/>
          <w:lang w:val="en-US" w:eastAsia="zh-CN"/>
        </w:rPr>
        <w:t>功能需求</w:t>
      </w: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燃电系统故障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燃电系统故障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仪表接收FCU发的总线信号，点亮燃电系统故障指示灯。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以下所有条件满足时，进入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1.ON档电源接通；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2.燃电系统工作状态为故障状态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点亮燃电系统故障指示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rPr>
                <w:rFonts w:ascii="Times New Roman" w:hAnsi="Times New Roman" w:eastAsia="宋体" w:cs="Times New Roman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eastAsia="zh-CN"/>
              </w:rPr>
              <w:t>图标：</w:t>
            </w:r>
            <w:r>
              <w:rPr>
                <w:rFonts w:ascii="Times New Roman" w:hAnsi="Times New Roman" w:eastAsia="宋体" w:cs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0"/>
                <w:szCs w:val="20"/>
                <w:lang w:val="en-US" w:eastAsia="zh-CN"/>
              </w:rPr>
              <w:drawing>
                <wp:inline distT="0" distB="0" distL="0" distR="0">
                  <wp:extent cx="359410" cy="35941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Times New Roman" w:hAnsi="Times New Roman" w:eastAsia="宋体" w:cs="Times New Roman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</w:rPr>
              <w:t>颜色：</w:t>
            </w: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eastAsia="zh-CN"/>
              </w:rPr>
              <w:t>黄色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以下任意条件满足时，退出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1.ON档电源断开；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仪表收不到燃电系统故障状态信号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66"/>
              <w:gridCol w:w="1190"/>
              <w:gridCol w:w="737"/>
              <w:gridCol w:w="587"/>
              <w:gridCol w:w="750"/>
              <w:gridCol w:w="289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8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50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40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50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197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9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宋体" w:hAnsi="宋体" w:eastAsia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0x18FFA6F5</w:t>
                  </w:r>
                </w:p>
              </w:tc>
              <w:tc>
                <w:tcPr>
                  <w:tcW w:w="8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工作状态</w:t>
                  </w:r>
                </w:p>
              </w:tc>
              <w:tc>
                <w:tcPr>
                  <w:tcW w:w="50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40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1-8</w:t>
                  </w:r>
                </w:p>
              </w:tc>
              <w:tc>
                <w:tcPr>
                  <w:tcW w:w="50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00m</w:t>
                  </w: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</w:t>
                  </w:r>
                </w:p>
              </w:tc>
              <w:tc>
                <w:tcPr>
                  <w:tcW w:w="197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9 故障状态 正常故障下，按照流程停机</w:t>
                  </w:r>
                </w:p>
              </w:tc>
            </w:tr>
          </w:tbl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</w:tbl>
    <w:p>
      <w:pPr>
        <w:rPr>
          <w:lang w:eastAsia="zh-CN"/>
        </w:rPr>
      </w:pPr>
    </w:p>
    <w:p>
      <w:pPr>
        <w:pStyle w:val="4"/>
        <w:rPr>
          <w:color w:val="FF0000"/>
          <w:lang w:eastAsia="zh-CN"/>
        </w:rPr>
      </w:pPr>
      <w:r>
        <w:rPr>
          <w:rFonts w:hint="eastAsia"/>
          <w:color w:val="FF0000"/>
          <w:lang w:val="en-US" w:eastAsia="zh-CN"/>
        </w:rPr>
        <w:t>燃料电池冷却液温度过高报警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燃料电池冷却液温度过高报警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仪表接收燃料电池的总线信号，点亮燃料电池冷却液温度过高报警故障指示灯。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以下所有条件满足时，进入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1.ON档电源接通；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bookmarkStart w:id="0" w:name="OLE_LINK1"/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 xml:space="preserve">2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0x18FECAF5</w:t>
            </w: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（DM1_FCU）SPN=11187,FMI=0，点亮过温报警指示灯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rPr>
                <w:rFonts w:ascii="Times New Roman" w:hAnsi="Times New Roman" w:eastAsia="宋体" w:cs="Times New Roman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eastAsia="zh-CN"/>
              </w:rPr>
              <w:t xml:space="preserve">报警灯  </w:t>
            </w:r>
            <w:r>
              <w:rPr>
                <w:lang w:val="en-US" w:eastAsia="zh-CN"/>
              </w:rPr>
              <w:drawing>
                <wp:inline distT="0" distB="0" distL="0" distR="0">
                  <wp:extent cx="337185" cy="3048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96" cy="305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Times New Roman" w:hAnsi="Times New Roman" w:eastAsia="宋体" w:cs="Times New Roman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eastAsia="zh-CN"/>
              </w:rPr>
              <w:t>图标：用发动机水温过高报警，图标不变，颜色红色，总线信号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eastAsia="zh-CN"/>
              </w:rPr>
              <w:t>颜色：红色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以下任意条件满足时，退出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1.ON档电源断开；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0x18FECAF5（DM1_FCU） 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SPN</w:t>
            </w: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不等于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>11187</w:t>
            </w: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时，点亮过温报警指示灯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总线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</w:tbl>
    <w:p>
      <w:pPr>
        <w:rPr>
          <w:lang w:eastAsia="zh-CN"/>
        </w:rPr>
      </w:pPr>
    </w:p>
    <w:p>
      <w:pPr>
        <w:pStyle w:val="4"/>
        <w:rPr>
          <w:lang w:eastAsia="zh-CN"/>
        </w:rPr>
      </w:pPr>
      <w:r>
        <w:rPr>
          <w:rFonts w:hint="eastAsia"/>
          <w:lang w:val="en-US" w:eastAsia="zh-CN"/>
        </w:rPr>
        <w:t>H2泄露报警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H2泄露报警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仪表接收燃料电池的总线信号，氢量发生泄漏时点亮H2泄露报警指示灯加蜂鸣报警。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以下所有条件满足时，进入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1.ON档电源接通；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氢气浓度大于6000ppm</w:t>
            </w:r>
            <w:r>
              <w:rPr>
                <w:rFonts w:asciiTheme="minorEastAsia" w:hAnsiTheme="minorEastAsia"/>
                <w:sz w:val="20"/>
                <w:szCs w:val="20"/>
                <w:lang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rPr>
                <w:rFonts w:ascii="Times New Roman" w:hAnsi="Times New Roman" w:eastAsia="宋体" w:cs="Times New Roman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eastAsia="zh-CN"/>
              </w:rPr>
              <w:t>报警灯</w:t>
            </w:r>
            <w:r>
              <w:rPr>
                <w:rFonts w:ascii="Times New Roman" w:hAnsi="Times New Roman" w:eastAsia="宋体" w:cs="Times New Roman"/>
                <w:sz w:val="20"/>
                <w:szCs w:val="20"/>
                <w:lang w:val="en-US" w:eastAsia="zh-CN"/>
              </w:rPr>
              <w:drawing>
                <wp:inline distT="0" distB="0" distL="0" distR="0">
                  <wp:extent cx="396240" cy="38417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eastAsia="zh-CN"/>
              </w:rPr>
              <w:t>颜色：红色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以下任意条件满足时，退出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1.ON档电源断开；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氢气浓度小于5500ppm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66"/>
              <w:gridCol w:w="1988"/>
              <w:gridCol w:w="674"/>
              <w:gridCol w:w="674"/>
              <w:gridCol w:w="750"/>
              <w:gridCol w:w="207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36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41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142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宋体" w:hAnsi="宋体" w:eastAsia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color w:val="FF0000"/>
                      <w:sz w:val="21"/>
                      <w:szCs w:val="24"/>
                      <w:lang w:val="en-US" w:eastAsia="zh-CN"/>
                    </w:rPr>
                    <w:t>0x18FFA5F</w:t>
                  </w:r>
                  <w:r>
                    <w:rPr>
                      <w:rFonts w:hint="eastAsia" w:ascii="宋体" w:hAnsi="宋体" w:eastAsia="宋体" w:cs="宋体"/>
                      <w:color w:val="FF0000"/>
                      <w:sz w:val="21"/>
                      <w:szCs w:val="24"/>
                      <w:lang w:val="en-US" w:eastAsia="zh-CN"/>
                    </w:rPr>
                    <w:t>6</w:t>
                  </w:r>
                </w:p>
              </w:tc>
              <w:tc>
                <w:tcPr>
                  <w:tcW w:w="136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氢气最高浓度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1-2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-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16</w:t>
                  </w:r>
                </w:p>
              </w:tc>
              <w:tc>
                <w:tcPr>
                  <w:tcW w:w="41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100</w:t>
                  </w: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ms </w:t>
                  </w:r>
                </w:p>
              </w:tc>
              <w:tc>
                <w:tcPr>
                  <w:tcW w:w="142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Scale:1mg/kg/bit</w:t>
                  </w:r>
                </w:p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 xml:space="preserve">offset:0 </w:t>
                  </w:r>
                </w:p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Data range: 0 to 60000 mg/kg</w:t>
                  </w:r>
                </w:p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0XFFFE表示异常</w:t>
                  </w:r>
                </w:p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0XFFFF表示无效</w:t>
                  </w:r>
                </w:p>
              </w:tc>
            </w:tr>
          </w:tbl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</w:tbl>
    <w:p>
      <w:pPr>
        <w:rPr>
          <w:lang w:val="en-US" w:eastAsia="zh-CN"/>
        </w:rPr>
      </w:pPr>
    </w:p>
    <w:p>
      <w:pPr>
        <w:pStyle w:val="4"/>
        <w:rPr>
          <w:lang w:eastAsia="zh-CN"/>
        </w:rPr>
      </w:pPr>
      <w:bookmarkStart w:id="1" w:name="OLE_LINK2"/>
      <w:r>
        <w:rPr>
          <w:rFonts w:hint="eastAsia"/>
          <w:lang w:val="en-US" w:eastAsia="zh-CN"/>
        </w:rPr>
        <w:t>氢气SOC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氢气SOC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仪表接收燃料电池的总线信号，</w:t>
            </w:r>
            <w:r>
              <w:rPr>
                <w:rFonts w:hint="eastAsia" w:cs="Arial" w:asciiTheme="minorEastAsia" w:hAnsiTheme="minorEastAsia"/>
                <w:color w:val="FF0000"/>
                <w:sz w:val="20"/>
                <w:szCs w:val="20"/>
                <w:lang w:eastAsia="zh-CN"/>
              </w:rPr>
              <w:t>柱状+数字</w:t>
            </w: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显示氢气SOC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以下所有条件满足时，进入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1.ON档电源接通；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氢气剩余质量SOC百分比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大于20%显示绿色，20%—15%显示黄色，15%以下显示红色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以下任意条件满足时，退出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1.ON档电源断开；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00"/>
              <w:gridCol w:w="1998"/>
              <w:gridCol w:w="685"/>
              <w:gridCol w:w="546"/>
              <w:gridCol w:w="813"/>
              <w:gridCol w:w="208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5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136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38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50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142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5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r>
                    <w:t>0x18FFA1F6</w:t>
                  </w:r>
                </w:p>
              </w:tc>
              <w:tc>
                <w:tcPr>
                  <w:tcW w:w="136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氢气剩余质量SOC百分比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38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r>
                    <w:rPr>
                      <w:rFonts w:hint="eastAsia"/>
                    </w:rPr>
                    <w:t>1-8</w:t>
                  </w:r>
                </w:p>
              </w:tc>
              <w:tc>
                <w:tcPr>
                  <w:tcW w:w="505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r>
                    <w:rPr>
                      <w:rFonts w:hint="eastAsia"/>
                    </w:rPr>
                    <w:t xml:space="preserve">100ms </w:t>
                  </w:r>
                </w:p>
              </w:tc>
              <w:tc>
                <w:tcPr>
                  <w:tcW w:w="142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Scale: 1%</w:t>
                  </w:r>
                </w:p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offset: 0</w:t>
                  </w:r>
                </w:p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Data range: 0 to +100%</w:t>
                  </w:r>
                </w:p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0xFF 无效</w:t>
                  </w:r>
                </w:p>
              </w:tc>
            </w:tr>
          </w:tbl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bookmarkEnd w:id="1"/>
    </w:tbl>
    <w:p>
      <w:pPr>
        <w:rPr>
          <w:lang w:val="en-US" w:eastAsia="zh-CN"/>
        </w:rPr>
      </w:pPr>
    </w:p>
    <w:p>
      <w:pPr>
        <w:pStyle w:val="4"/>
        <w:rPr>
          <w:lang w:eastAsia="zh-CN"/>
        </w:rPr>
      </w:pPr>
      <w:bookmarkStart w:id="2" w:name="OLE_LINK3"/>
      <w:r>
        <w:rPr>
          <w:rFonts w:hint="eastAsia"/>
          <w:lang w:val="en-US" w:eastAsia="zh-CN"/>
        </w:rPr>
        <w:t>显示模式</w:t>
      </w:r>
    </w:p>
    <w:bookmarkEnd w:id="2"/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显示模式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仪表接收整车控制器总线信号，液晶屏同一位置显示EV或FCV（EV、FCV互斥）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以下所有条件满足时，进入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1.ON档电源接通；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整车控制器总线信号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显示EV或FCV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以下任意条件满足时，退出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1.ON档电源断开；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总线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58"/>
              <w:gridCol w:w="1448"/>
              <w:gridCol w:w="701"/>
              <w:gridCol w:w="699"/>
              <w:gridCol w:w="750"/>
              <w:gridCol w:w="257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ID</w:t>
                  </w:r>
                </w:p>
              </w:tc>
              <w:tc>
                <w:tcPr>
                  <w:tcW w:w="98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内容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字节</w:t>
                  </w:r>
                </w:p>
              </w:tc>
              <w:tc>
                <w:tcPr>
                  <w:tcW w:w="47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位</w:t>
                  </w:r>
                </w:p>
              </w:tc>
              <w:tc>
                <w:tcPr>
                  <w:tcW w:w="47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周期</w:t>
                  </w:r>
                </w:p>
              </w:tc>
              <w:tc>
                <w:tcPr>
                  <w:tcW w:w="173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2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center"/>
                    <w:rPr>
                      <w:rFonts w:ascii="宋体" w:hAnsi="宋体" w:eastAsia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="宋体" w:hAnsi="宋体" w:eastAsia="宋体" w:cs="Times New Roman"/>
                      <w:color w:val="FF0000"/>
                      <w:kern w:val="2"/>
                      <w:sz w:val="21"/>
                      <w:szCs w:val="21"/>
                      <w:lang w:val="en-US" w:eastAsia="zh-CN"/>
                    </w:rPr>
                    <w:t>18FFF531</w:t>
                  </w:r>
                </w:p>
              </w:tc>
              <w:tc>
                <w:tcPr>
                  <w:tcW w:w="98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整车模式</w:t>
                  </w:r>
                </w:p>
              </w:tc>
              <w:tc>
                <w:tcPr>
                  <w:tcW w:w="47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7</w:t>
                  </w:r>
                </w:p>
              </w:tc>
              <w:tc>
                <w:tcPr>
                  <w:tcW w:w="476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5-6</w:t>
                  </w:r>
                </w:p>
              </w:tc>
              <w:tc>
                <w:tcPr>
                  <w:tcW w:w="47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100ms</w:t>
                  </w:r>
                </w:p>
              </w:tc>
              <w:tc>
                <w:tcPr>
                  <w:tcW w:w="1737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00：燃电模式</w:t>
                  </w:r>
                  <w:r>
                    <w:rPr>
                      <w:rFonts w:hint="eastAsia" w:cs="Arial" w:asciiTheme="minorEastAsia" w:hAnsiTheme="minorEastAsia"/>
                      <w:sz w:val="20"/>
                      <w:szCs w:val="20"/>
                      <w:lang w:eastAsia="zh-CN"/>
                    </w:rPr>
                    <w:t>FCV</w:t>
                  </w: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；</w:t>
                  </w:r>
                </w:p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01:纯电模式EV</w:t>
                  </w:r>
                </w:p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10:发动机模式</w:t>
                  </w:r>
                </w:p>
                <w:p>
                  <w:pPr>
                    <w:widowControl w:val="0"/>
                    <w:spacing w:after="0" w:line="240" w:lineRule="auto"/>
                    <w:jc w:val="both"/>
                    <w:rPr>
                      <w:rFonts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color w:val="FF0000"/>
                      <w:kern w:val="2"/>
                      <w:sz w:val="20"/>
                      <w:szCs w:val="24"/>
                      <w:lang w:val="en-US" w:eastAsia="zh-CN"/>
                    </w:rPr>
                    <w:t>11:混动模式</w:t>
                  </w:r>
                </w:p>
              </w:tc>
            </w:tr>
          </w:tbl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</w:tbl>
    <w:p>
      <w:pPr>
        <w:rPr>
          <w:lang w:val="en-US" w:eastAsia="zh-CN"/>
        </w:rPr>
      </w:pP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通讯协议</w:t>
      </w:r>
    </w:p>
    <w:p>
      <w:pPr>
        <w:pStyle w:val="4"/>
        <w:rPr>
          <w:lang w:val="en-US" w:eastAsia="zh-CN"/>
        </w:rPr>
      </w:pPr>
      <w:r>
        <w:rPr>
          <w:rFonts w:hint="eastAsia"/>
          <w:lang w:val="en-US" w:eastAsia="zh-CN"/>
        </w:rPr>
        <w:t>接收报文</w:t>
      </w:r>
    </w:p>
    <w:tbl>
      <w:tblPr>
        <w:tblStyle w:val="27"/>
        <w:tblW w:w="9077" w:type="dxa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73"/>
        <w:gridCol w:w="792"/>
        <w:gridCol w:w="709"/>
        <w:gridCol w:w="1559"/>
        <w:gridCol w:w="2126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17" w:type="dxa"/>
            <w:shd w:val="clear" w:color="000000" w:fill="A6A6A6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lang w:val="en-US" w:eastAsia="zh-CN"/>
              </w:rPr>
              <w:t>周期</w:t>
            </w:r>
          </w:p>
        </w:tc>
        <w:tc>
          <w:tcPr>
            <w:tcW w:w="1373" w:type="dxa"/>
            <w:shd w:val="clear" w:color="000000" w:fill="A6A6A6"/>
            <w:noWrap/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sz w:val="24"/>
                <w:szCs w:val="24"/>
                <w:lang w:val="en-US" w:eastAsia="zh-CN"/>
              </w:rPr>
              <w:t>ID</w:t>
            </w:r>
          </w:p>
        </w:tc>
        <w:tc>
          <w:tcPr>
            <w:tcW w:w="792" w:type="dxa"/>
            <w:shd w:val="clear" w:color="000000" w:fill="A6A6A6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lang w:val="en-US" w:eastAsia="zh-CN"/>
              </w:rPr>
              <w:t>Byte</w:t>
            </w:r>
          </w:p>
        </w:tc>
        <w:tc>
          <w:tcPr>
            <w:tcW w:w="709" w:type="dxa"/>
            <w:shd w:val="clear" w:color="000000" w:fill="A6A6A6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lang w:val="en-US" w:eastAsia="zh-CN"/>
              </w:rPr>
              <w:t>Bit</w:t>
            </w:r>
          </w:p>
        </w:tc>
        <w:tc>
          <w:tcPr>
            <w:tcW w:w="1559" w:type="dxa"/>
            <w:shd w:val="clear" w:color="000000" w:fill="A6A6A6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lang w:val="en-US" w:eastAsia="zh-CN"/>
              </w:rPr>
              <w:t>内容</w:t>
            </w:r>
          </w:p>
        </w:tc>
        <w:tc>
          <w:tcPr>
            <w:tcW w:w="2126" w:type="dxa"/>
            <w:shd w:val="clear" w:color="000000" w:fill="A6A6A6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sz w:val="20"/>
                <w:szCs w:val="20"/>
                <w:lang w:val="en-US" w:eastAsia="zh-CN"/>
              </w:rPr>
              <w:t>V</w:t>
            </w:r>
            <w:r>
              <w:rPr>
                <w:rFonts w:hint="eastAsia" w:ascii="Arial" w:hAnsi="Arial" w:eastAsia="宋体" w:cs="Arial"/>
                <w:sz w:val="20"/>
                <w:szCs w:val="20"/>
                <w:lang w:val="en-US" w:eastAsia="zh-CN"/>
              </w:rPr>
              <w:t>alue</w:t>
            </w:r>
          </w:p>
        </w:tc>
        <w:tc>
          <w:tcPr>
            <w:tcW w:w="1701" w:type="dxa"/>
            <w:shd w:val="clear" w:color="000000" w:fill="A6A6A6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17" w:type="dxa"/>
            <w:shd w:val="clear" w:color="000000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auto"/>
                <w:sz w:val="20"/>
                <w:szCs w:val="20"/>
                <w:shd w:val="clear" w:color="auto" w:fill="auto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auto"/>
                <w:sz w:val="20"/>
                <w:szCs w:val="20"/>
                <w:shd w:val="clear" w:color="auto" w:fill="auto"/>
                <w:lang w:val="en-US" w:eastAsia="zh-CN"/>
              </w:rPr>
              <w:t>100ms</w:t>
            </w:r>
          </w:p>
        </w:tc>
        <w:tc>
          <w:tcPr>
            <w:tcW w:w="1373" w:type="dxa"/>
            <w:shd w:val="clear" w:color="000000" w:fill="auto"/>
            <w:noWrap/>
            <w:vAlign w:val="center"/>
          </w:tcPr>
          <w:p>
            <w:pPr>
              <w:spacing w:after="0" w:line="240" w:lineRule="auto"/>
              <w:rPr>
                <w:rFonts w:ascii="宋体" w:hAnsi="宋体" w:eastAsia="宋体" w:cs="Arial"/>
                <w:color w:val="auto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auto"/>
                <w:sz w:val="24"/>
                <w:szCs w:val="24"/>
                <w:shd w:val="clear" w:color="auto" w:fill="auto"/>
                <w:lang w:val="en-US" w:eastAsia="zh-CN"/>
              </w:rPr>
              <w:t>18FFF531</w:t>
            </w:r>
          </w:p>
        </w:tc>
        <w:tc>
          <w:tcPr>
            <w:tcW w:w="792" w:type="dxa"/>
            <w:shd w:val="clear" w:color="000000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auto"/>
                <w:sz w:val="20"/>
                <w:szCs w:val="20"/>
                <w:shd w:val="clear" w:color="auto" w:fill="auto"/>
                <w:lang w:val="en-US" w:eastAsia="zh-CN"/>
              </w:rPr>
            </w:pPr>
            <w:r>
              <w:rPr>
                <w:rFonts w:ascii="Arial" w:hAnsi="Arial" w:eastAsia="宋体" w:cs="Arial"/>
                <w:color w:val="auto"/>
                <w:sz w:val="20"/>
                <w:szCs w:val="20"/>
                <w:shd w:val="clear" w:color="auto" w:fill="auto"/>
                <w:lang w:val="en-US" w:eastAsia="zh-CN"/>
              </w:rPr>
              <w:t>　</w:t>
            </w:r>
          </w:p>
        </w:tc>
        <w:tc>
          <w:tcPr>
            <w:tcW w:w="709" w:type="dxa"/>
            <w:shd w:val="clear" w:color="000000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auto"/>
                <w:sz w:val="20"/>
                <w:szCs w:val="20"/>
                <w:shd w:val="clear" w:color="auto" w:fill="auto"/>
                <w:lang w:val="en-US" w:eastAsia="zh-CN"/>
              </w:rPr>
            </w:pPr>
            <w:r>
              <w:rPr>
                <w:rFonts w:ascii="Arial" w:hAnsi="Arial" w:eastAsia="宋体" w:cs="Arial"/>
                <w:color w:val="auto"/>
                <w:sz w:val="20"/>
                <w:szCs w:val="20"/>
                <w:shd w:val="clear" w:color="auto" w:fill="auto"/>
                <w:lang w:val="en-US" w:eastAsia="zh-CN"/>
              </w:rPr>
              <w:t>　</w:t>
            </w:r>
          </w:p>
        </w:tc>
        <w:tc>
          <w:tcPr>
            <w:tcW w:w="1559" w:type="dxa"/>
            <w:shd w:val="clear" w:color="000000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auto"/>
                <w:sz w:val="20"/>
                <w:szCs w:val="20"/>
                <w:shd w:val="clear" w:color="auto" w:fill="auto"/>
                <w:lang w:val="en-US" w:eastAsia="zh-CN"/>
              </w:rPr>
            </w:pPr>
            <w:r>
              <w:rPr>
                <w:rFonts w:ascii="Arial" w:hAnsi="Arial" w:eastAsia="宋体" w:cs="Arial"/>
                <w:color w:val="auto"/>
                <w:sz w:val="20"/>
                <w:szCs w:val="20"/>
                <w:shd w:val="clear" w:color="auto" w:fill="auto"/>
                <w:lang w:val="en-US" w:eastAsia="zh-CN"/>
              </w:rPr>
              <w:t>　</w:t>
            </w:r>
          </w:p>
        </w:tc>
        <w:tc>
          <w:tcPr>
            <w:tcW w:w="2126" w:type="dxa"/>
            <w:shd w:val="clear" w:color="000000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auto"/>
                <w:sz w:val="20"/>
                <w:szCs w:val="20"/>
                <w:shd w:val="clear" w:color="auto" w:fill="auto"/>
                <w:lang w:val="en-US" w:eastAsia="zh-CN"/>
              </w:rPr>
            </w:pPr>
            <w:r>
              <w:rPr>
                <w:rFonts w:ascii="Arial" w:hAnsi="Arial" w:eastAsia="宋体" w:cs="Arial"/>
                <w:color w:val="auto"/>
                <w:sz w:val="20"/>
                <w:szCs w:val="20"/>
                <w:shd w:val="clear" w:color="auto" w:fill="auto"/>
                <w:lang w:val="en-US" w:eastAsia="zh-CN"/>
              </w:rPr>
              <w:t>　</w:t>
            </w:r>
          </w:p>
        </w:tc>
        <w:tc>
          <w:tcPr>
            <w:tcW w:w="1701" w:type="dxa"/>
            <w:shd w:val="clear" w:color="000000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auto"/>
                <w:sz w:val="20"/>
                <w:szCs w:val="20"/>
                <w:shd w:val="clear" w:color="auto" w:fill="auto"/>
                <w:lang w:val="en-US" w:eastAsia="zh-CN"/>
              </w:rPr>
            </w:pPr>
            <w:r>
              <w:rPr>
                <w:rFonts w:ascii="Arial" w:hAnsi="Arial" w:eastAsia="宋体" w:cs="Arial"/>
                <w:color w:val="auto"/>
                <w:sz w:val="20"/>
                <w:szCs w:val="20"/>
                <w:shd w:val="clear" w:color="auto" w:fill="auto"/>
                <w:lang w:val="en-US" w:eastAsia="zh-CN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6" w:hRule="atLeast"/>
        </w:trPr>
        <w:tc>
          <w:tcPr>
            <w:tcW w:w="817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　</w:t>
            </w:r>
          </w:p>
        </w:tc>
        <w:tc>
          <w:tcPr>
            <w:tcW w:w="1373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　</w:t>
            </w:r>
          </w:p>
        </w:tc>
        <w:tc>
          <w:tcPr>
            <w:tcW w:w="792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5-6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宋体" w:hAnsi="宋体" w:eastAsia="宋体" w:cs="Arial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FF0000"/>
                <w:sz w:val="21"/>
                <w:szCs w:val="21"/>
                <w:lang w:val="en-US" w:eastAsia="zh-CN"/>
              </w:rPr>
              <w:t>整车模式</w:t>
            </w: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spacing w:after="240" w:line="240" w:lineRule="auto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00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：燃电模式；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01: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纯电模式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10: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发动机模式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11: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混动模式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宋体" w:hAnsi="宋体" w:eastAsia="宋体" w:cs="Arial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FF0000"/>
                <w:sz w:val="21"/>
                <w:szCs w:val="21"/>
                <w:lang w:val="en-US" w:eastAsia="zh-CN"/>
              </w:rPr>
              <w:t>整车模式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17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100ms</w:t>
            </w:r>
          </w:p>
        </w:tc>
        <w:tc>
          <w:tcPr>
            <w:tcW w:w="137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0x18FFA1F6</w:t>
            </w:r>
          </w:p>
        </w:tc>
        <w:tc>
          <w:tcPr>
            <w:tcW w:w="792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　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　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宋体" w:hAnsi="宋体" w:eastAsia="宋体" w:cs="Arial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FF0000"/>
                <w:sz w:val="21"/>
                <w:szCs w:val="21"/>
                <w:lang w:val="en-US" w:eastAsia="zh-CN"/>
              </w:rPr>
              <w:t>　</w:t>
            </w: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　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宋体" w:hAnsi="宋体" w:eastAsia="宋体" w:cs="Arial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FF0000"/>
                <w:sz w:val="24"/>
                <w:szCs w:val="24"/>
                <w:lang w:val="en-US" w:eastAsia="zh-CN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817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　</w:t>
            </w:r>
          </w:p>
        </w:tc>
        <w:tc>
          <w:tcPr>
            <w:tcW w:w="1373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　</w:t>
            </w:r>
          </w:p>
        </w:tc>
        <w:tc>
          <w:tcPr>
            <w:tcW w:w="792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宋体" w:hAnsi="宋体" w:eastAsia="宋体" w:cs="Arial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FF0000"/>
                <w:sz w:val="21"/>
                <w:szCs w:val="21"/>
                <w:lang w:val="en-US" w:eastAsia="zh-CN"/>
              </w:rPr>
              <w:t>氢气SOC</w:t>
            </w: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Scale: 1%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offset: 0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Data range: 0 to +100%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0xFF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无效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宋体" w:hAnsi="宋体" w:eastAsia="宋体" w:cs="Arial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FF0000"/>
                <w:sz w:val="24"/>
                <w:szCs w:val="24"/>
                <w:lang w:val="en-US" w:eastAsia="zh-CN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</w:trPr>
        <w:tc>
          <w:tcPr>
            <w:tcW w:w="817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100ms</w:t>
            </w:r>
          </w:p>
        </w:tc>
        <w:tc>
          <w:tcPr>
            <w:tcW w:w="137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0x18FFA5F6</w:t>
            </w:r>
          </w:p>
        </w:tc>
        <w:tc>
          <w:tcPr>
            <w:tcW w:w="792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Arial"/>
                <w:color w:val="FF0000"/>
                <w:sz w:val="21"/>
                <w:szCs w:val="21"/>
                <w:lang w:val="en-US" w:eastAsia="zh-CN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hint="eastAsia" w:ascii="宋体" w:hAnsi="宋体" w:eastAsia="宋体" w:cs="Arial"/>
                <w:color w:val="FF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</w:trPr>
        <w:tc>
          <w:tcPr>
            <w:tcW w:w="817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</w:p>
        </w:tc>
        <w:tc>
          <w:tcPr>
            <w:tcW w:w="137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1-2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1-16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宋体" w:hAnsi="宋体" w:eastAsia="宋体" w:cs="Arial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FF0000"/>
                <w:sz w:val="21"/>
                <w:szCs w:val="21"/>
                <w:lang w:val="en-US" w:eastAsia="zh-CN"/>
              </w:rPr>
              <w:t>氢气最高浓度</w:t>
            </w: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Scale:1mg/kg/bit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offset:0 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Data range: 0 to 60000 mg/kg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0XFFFE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表示异常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0XFFFF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表示无效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宋体" w:hAnsi="宋体" w:eastAsia="宋体" w:cs="Arial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FF0000"/>
                <w:sz w:val="24"/>
                <w:szCs w:val="24"/>
                <w:lang w:val="en-US" w:eastAsia="zh-CN"/>
              </w:rPr>
              <w:t>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17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100ms</w:t>
            </w:r>
          </w:p>
        </w:tc>
        <w:tc>
          <w:tcPr>
            <w:tcW w:w="137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0x18FFA6F5</w:t>
            </w:r>
          </w:p>
        </w:tc>
        <w:tc>
          <w:tcPr>
            <w:tcW w:w="792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宋体" w:hAnsi="宋体" w:eastAsia="宋体" w:cs="Arial"/>
                <w:color w:val="FF0000"/>
                <w:sz w:val="21"/>
                <w:szCs w:val="21"/>
                <w:lang w:val="en-US" w:eastAsia="zh-CN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</w:p>
        </w:tc>
        <w:tc>
          <w:tcPr>
            <w:tcW w:w="1701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宋体" w:hAnsi="宋体" w:eastAsia="宋体" w:cs="Arial"/>
                <w:color w:val="FF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8" w:hRule="atLeast"/>
        </w:trPr>
        <w:tc>
          <w:tcPr>
            <w:tcW w:w="817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</w:p>
        </w:tc>
        <w:tc>
          <w:tcPr>
            <w:tcW w:w="137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</w:p>
        </w:tc>
        <w:tc>
          <w:tcPr>
            <w:tcW w:w="792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1-8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宋体" w:hAnsi="宋体" w:eastAsia="宋体" w:cs="Arial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FF0000"/>
                <w:sz w:val="21"/>
                <w:szCs w:val="21"/>
                <w:lang w:val="en-US" w:eastAsia="zh-CN"/>
              </w:rPr>
              <w:t>工作状态</w:t>
            </w:r>
          </w:p>
        </w:tc>
        <w:tc>
          <w:tcPr>
            <w:tcW w:w="2126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0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自检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上电过程中燃电各部件自检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1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待机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燃料电池系统待机中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2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正常启动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启动完成可以进行功率输出，但满足可加载功率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&gt;=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目标输出功率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3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低温启动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低温条件上燃电工作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4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自动运行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正常响应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>VCU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功率请求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5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手动运行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燃电调试时自行加载功率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6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正常停机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停机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7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低温吹扫停机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低温状态下吹扫关机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8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紧急停机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紧急状态下停机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9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故障状态</w:t>
            </w:r>
            <w:r>
              <w:rPr>
                <w:rFonts w:ascii="Arial" w:hAnsi="Arial" w:eastAsia="宋体" w:cs="Arial"/>
                <w:color w:val="FF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Arial"/>
                <w:color w:val="FF0000"/>
                <w:sz w:val="20"/>
                <w:szCs w:val="20"/>
                <w:lang w:val="en-US" w:eastAsia="zh-CN"/>
              </w:rPr>
              <w:t>正常故障下，按照流程停机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>
            <w:pPr>
              <w:spacing w:after="0" w:line="240" w:lineRule="auto"/>
              <w:rPr>
                <w:rFonts w:ascii="宋体" w:hAnsi="宋体" w:eastAsia="宋体" w:cs="Arial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FF0000"/>
                <w:sz w:val="24"/>
                <w:szCs w:val="24"/>
                <w:lang w:val="en-US" w:eastAsia="zh-CN"/>
              </w:rPr>
              <w:t>　</w:t>
            </w:r>
          </w:p>
        </w:tc>
      </w:tr>
    </w:tbl>
    <w:p>
      <w:pPr>
        <w:rPr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发送报文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2"/>
        <w:numPr>
          <w:ilvl w:val="0"/>
          <w:numId w:val="3"/>
        </w:numPr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仪表显示内容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2"/>
        <w:numPr>
          <w:ilvl w:val="0"/>
          <w:numId w:val="3"/>
        </w:numPr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法规要求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first"/>
      <w:headerReference r:id="rId3" w:type="default"/>
      <w:headerReference r:id="rId4" w:type="even"/>
      <w:pgSz w:w="11906" w:h="16838"/>
      <w:pgMar w:top="1134" w:right="567" w:bottom="851" w:left="1134" w:header="709" w:footer="709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Gill Sans for Saab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8"/>
      <w:tblW w:w="10421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16"/>
      <w:gridCol w:w="1198"/>
      <w:gridCol w:w="5539"/>
      <w:gridCol w:w="1368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0" w:hRule="atLeast"/>
      </w:trPr>
      <w:tc>
        <w:tcPr>
          <w:tcW w:w="2316" w:type="dxa"/>
          <w:vMerge w:val="restart"/>
          <w:vAlign w:val="center"/>
        </w:tcPr>
        <w:p>
          <w:pPr>
            <w:pStyle w:val="19"/>
            <w:jc w:val="center"/>
          </w:pPr>
          <w:r>
            <w:rPr>
              <w:lang w:val="en-US" w:eastAsia="zh-CN"/>
            </w:rPr>
            <w:drawing>
              <wp:inline distT="0" distB="0" distL="0" distR="0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pict>
              <v:shape id="PowerPlusWaterMarkObject11870835" o:spid="_x0000_s2054" o:spt="136" type="#_x0000_t136" style="position:absolute;left:0pt;height:124.75pt;width:594.65pt;mso-position-horizontal:center;mso-position-horizontal-relative:margin;mso-position-vertical:center;mso-position-vertical-relative:margin;rotation:20643840f;z-index:-251653120;mso-width-relative:page;mso-height-relative:page;" fillcolor="#FF0000" filled="t" stroked="f" coordsize="21600,21600" o:allowincell="f">
                <v:path/>
                <v:fill on="t" opacity="32768f" focussize="0,0"/>
                <v:stroke on="f"/>
                <v:imagedata o:title=""/>
                <o:lock v:ext="edit"/>
                <v:textpath on="t" fitshape="t" fitpath="t" trim="t" xscale="f" string="Confidential" style="font-family:Arial Unicode MS;font-size:1pt;v-text-align:center;"/>
              </v:shape>
            </w:pict>
          </w:r>
        </w:p>
      </w:tc>
      <w:tc>
        <w:tcPr>
          <w:tcW w:w="1198" w:type="dxa"/>
        </w:tcPr>
        <w:p>
          <w:pPr>
            <w:pStyle w:val="19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4" w:hRule="atLeast"/>
      </w:trPr>
      <w:tc>
        <w:tcPr>
          <w:tcW w:w="2316" w:type="dxa"/>
          <w:vMerge w:val="continue"/>
        </w:tcPr>
        <w:p>
          <w:pPr>
            <w:pStyle w:val="19"/>
          </w:pPr>
        </w:p>
      </w:tc>
      <w:tc>
        <w:tcPr>
          <w:tcW w:w="119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>
          <w:pPr>
            <w:pStyle w:val="19"/>
            <w:rPr>
              <w:lang w:eastAsia="zh-CN"/>
            </w:rPr>
          </w:pPr>
        </w:p>
      </w:tc>
      <w:tc>
        <w:tcPr>
          <w:tcW w:w="136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  <w:r>
      <w:pict>
        <v:shape id="PowerPlusWaterMarkObject11870834" o:spid="_x0000_s2053" o:spt="136" type="#_x0000_t136" style="position:absolute;left:0pt;height:124.75pt;width:594.65pt;mso-position-horizontal:center;mso-position-horizontal-relative:margin;mso-position-vertical:center;mso-position-vertical-relative:margin;rotation:20643840f;z-index:-251655168;mso-width-relative:page;mso-height-relative:page;" fillcolor="#FF000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Confidential" style="font-family:Arial Unicode MS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8"/>
      <w:tblW w:w="10421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16"/>
      <w:gridCol w:w="1198"/>
      <w:gridCol w:w="5539"/>
      <w:gridCol w:w="1368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0" w:hRule="atLeast"/>
      </w:trPr>
      <w:tc>
        <w:tcPr>
          <w:tcW w:w="2316" w:type="dxa"/>
          <w:vMerge w:val="restart"/>
          <w:vAlign w:val="center"/>
        </w:tcPr>
        <w:p>
          <w:pPr>
            <w:pStyle w:val="19"/>
            <w:jc w:val="center"/>
          </w:pPr>
          <w:r>
            <w:rPr>
              <w:lang w:val="en-US" w:eastAsia="zh-CN"/>
            </w:rPr>
            <w:drawing>
              <wp:inline distT="0" distB="0" distL="0" distR="0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pict>
              <v:shape id="_x0000_s2055" o:spid="_x0000_s2055" o:spt="136" type="#_x0000_t136" style="position:absolute;left:0pt;height:124.75pt;width:594.65pt;mso-position-horizontal:center;mso-position-horizontal-relative:margin;mso-position-vertical:center;mso-position-vertical-relative:margin;rotation:20643840f;z-index:-251651072;mso-width-relative:page;mso-height-relative:page;" fillcolor="#FF0000" filled="t" stroked="f" coordsize="21600,21600" o:allowincell="f">
                <v:path/>
                <v:fill on="t" opacity="32768f" focussize="0,0"/>
                <v:stroke on="f"/>
                <v:imagedata o:title=""/>
                <o:lock v:ext="edit"/>
                <v:textpath on="t" fitshape="t" fitpath="t" trim="t" xscale="f" string="Confidential" style="font-family:Arial Unicode MS;font-size:1pt;v-text-align:center;"/>
              </v:shape>
            </w:pict>
          </w:r>
        </w:p>
      </w:tc>
      <w:tc>
        <w:tcPr>
          <w:tcW w:w="1198" w:type="dxa"/>
        </w:tcPr>
        <w:p>
          <w:pPr>
            <w:pStyle w:val="19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6</w:t>
          </w:r>
          <w:r>
            <w:fldChar w:fldCharType="end"/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4" w:hRule="atLeast"/>
      </w:trPr>
      <w:tc>
        <w:tcPr>
          <w:tcW w:w="2316" w:type="dxa"/>
          <w:vMerge w:val="continue"/>
        </w:tcPr>
        <w:p>
          <w:pPr>
            <w:pStyle w:val="19"/>
          </w:pPr>
        </w:p>
      </w:tc>
      <w:tc>
        <w:tcPr>
          <w:tcW w:w="119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>
          <w:pPr>
            <w:pStyle w:val="19"/>
            <w:rPr>
              <w:lang w:eastAsia="zh-CN"/>
            </w:rPr>
          </w:pPr>
        </w:p>
      </w:tc>
      <w:tc>
        <w:tcPr>
          <w:tcW w:w="136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>
    <w:pPr>
      <w:pStyle w:val="19"/>
    </w:pPr>
    <w:r>
      <w:pict>
        <v:shape id="PowerPlusWaterMarkObject11870833" o:spid="_x0000_s2052" o:spt="136" type="#_x0000_t136" style="position:absolute;left:0pt;height:124.75pt;width:594.65pt;mso-position-horizontal:center;mso-position-horizontal-relative:margin;mso-position-vertical:center;mso-position-vertical-relative:margin;rotation:20643840f;z-index:-251657216;mso-width-relative:page;mso-height-relative:page;" fillcolor="#FF000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Confidential" style="font-family:Arial Unicode MS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A798D"/>
    <w:multiLevelType w:val="multilevel"/>
    <w:tmpl w:val="198A798D"/>
    <w:lvl w:ilvl="0" w:tentative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25C65402"/>
    <w:multiLevelType w:val="multilevel"/>
    <w:tmpl w:val="25C65402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  <w:lvlOverride w:ilvl="0">
      <w:lvl w:ilvl="0" w:tentative="1">
        <w:start w:val="1"/>
        <w:numFmt w:val="decimal"/>
        <w:pStyle w:val="70"/>
        <w:lvlText w:val="%1"/>
        <w:lvlJc w:val="left"/>
        <w:pPr>
          <w:tabs>
            <w:tab w:val="left" w:pos="284"/>
          </w:tabs>
          <w:ind w:left="0" w:firstLine="0"/>
        </w:pPr>
        <w:rPr>
          <w:rFonts w:hint="eastAsia"/>
        </w:rPr>
      </w:lvl>
    </w:lvlOverride>
    <w:lvlOverride w:ilvl="1">
      <w:lvl w:ilvl="1" w:tentative="1">
        <w:start w:val="1"/>
        <w:numFmt w:val="decimal"/>
        <w:pStyle w:val="71"/>
        <w:lvlText w:val="%1.%2"/>
        <w:lvlJc w:val="left"/>
        <w:pPr>
          <w:tabs>
            <w:tab w:val="left" w:pos="45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shd w:val="clear" w:color="000000" w:fill="000000"/>
          <w:vertAlign w:val="baseline"/>
          <w:lang w:val="zh-CN" w:eastAsia="zh-CN" w:bidi="zh-CN"/>
          <w14:ligatures w14:val="none"/>
          <w14:numForm w14:val="default"/>
          <w14:numSpacing w14:val="default"/>
          <w14:cntxtalts w14:val="0"/>
        </w:rPr>
      </w:lvl>
    </w:lvlOverride>
    <w:lvlOverride w:ilvl="2">
      <w:lvl w:ilvl="2" w:tentative="1">
        <w:start w:val="1"/>
        <w:numFmt w:val="decimal"/>
        <w:pStyle w:val="72"/>
        <w:lvlText w:val="%1.%2.%3"/>
        <w:lvlJc w:val="left"/>
        <w:pPr>
          <w:tabs>
            <w:tab w:val="left" w:pos="624"/>
          </w:tabs>
          <w:ind w:left="0" w:firstLine="0"/>
        </w:pPr>
        <w:rPr>
          <w:rFonts w:hint="eastAsia"/>
        </w:rPr>
      </w:lvl>
    </w:lvlOverride>
    <w:lvlOverride w:ilvl="3">
      <w:lvl w:ilvl="3" w:tentative="1">
        <w:start w:val="1"/>
        <w:numFmt w:val="decimal"/>
        <w:pStyle w:val="73"/>
        <w:lvlText w:val="%1.%2.%3.%4"/>
        <w:lvlJc w:val="left"/>
        <w:pPr>
          <w:tabs>
            <w:tab w:val="left" w:pos="1361"/>
          </w:tabs>
          <w:ind w:left="567" w:firstLine="0"/>
        </w:pPr>
        <w:rPr>
          <w:rFonts w:hint="eastAsia"/>
        </w:rPr>
      </w:lvl>
    </w:lvlOverride>
    <w:lvlOverride w:ilvl="4">
      <w:lvl w:ilvl="4" w:tentative="1">
        <w:start w:val="1"/>
        <w:numFmt w:val="decimal"/>
        <w:pStyle w:val="74"/>
        <w:lvlText w:val="%1.%2.%3.%4.%5"/>
        <w:lvlJc w:val="left"/>
        <w:pPr>
          <w:tabs>
            <w:tab w:val="left" w:pos="96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shd w:val="clear" w:color="000000" w:fill="000000"/>
          <w:vertAlign w:val="baseline"/>
          <w:lang w:val="zh-CN" w:eastAsia="zh-CN" w:bidi="zh-CN"/>
          <w14:ligatures w14:val="none"/>
          <w14:numForm w14:val="default"/>
          <w14:numSpacing w14:val="default"/>
          <w14:cntxtalts w14:val="0"/>
        </w:rPr>
      </w:lvl>
    </w:lvlOverride>
    <w:lvlOverride w:ilvl="5">
      <w:lvl w:ilvl="5" w:tentative="1">
        <w:start w:val="1"/>
        <w:numFmt w:val="decimal"/>
        <w:pStyle w:val="75"/>
        <w:lvlText w:val="%1.%2.%3.%4.%5.%6"/>
        <w:lvlJc w:val="left"/>
        <w:pPr>
          <w:tabs>
            <w:tab w:val="left" w:pos="1134"/>
          </w:tabs>
          <w:ind w:left="0" w:firstLine="0"/>
        </w:pPr>
        <w:rPr>
          <w:rFonts w:hint="eastAsia"/>
        </w:rPr>
      </w:lvl>
    </w:lvlOverride>
    <w:lvlOverride w:ilvl="6">
      <w:lvl w:ilvl="6" w:tentative="1">
        <w:start w:val="1"/>
        <w:numFmt w:val="decimal"/>
        <w:pStyle w:val="76"/>
        <w:lvlText w:val="%1.%2.%3.%4.%5.%6.%7"/>
        <w:lvlJc w:val="left"/>
        <w:pPr>
          <w:tabs>
            <w:tab w:val="left" w:pos="1332"/>
          </w:tabs>
          <w:ind w:left="0" w:firstLine="0"/>
        </w:pPr>
        <w:rPr>
          <w:rFonts w:hint="eastAsia"/>
        </w:rPr>
      </w:lvl>
    </w:lvlOverride>
    <w:lvlOverride w:ilvl="7">
      <w:lvl w:ilvl="7" w:tentative="1">
        <w:start w:val="1"/>
        <w:numFmt w:val="decimal"/>
        <w:pStyle w:val="77"/>
        <w:lvlText w:val="%1.%2.%3.%4.%5.%6.%7.%8"/>
        <w:lvlJc w:val="left"/>
        <w:pPr>
          <w:tabs>
            <w:tab w:val="left" w:pos="1531"/>
          </w:tabs>
          <w:ind w:left="0" w:firstLine="0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tabs>
            <w:tab w:val="left" w:pos="1559"/>
          </w:tabs>
          <w:ind w:left="1559" w:hanging="1559"/>
        </w:pPr>
        <w:rPr>
          <w:rFonts w:hint="eastAsia"/>
        </w:rPr>
      </w:lvl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attachedTemplate r:id="rId1"/>
  <w:documentProtection w:enforcement="0"/>
  <w:defaultTabStop w:val="1304"/>
  <w:hyphenationZone w:val="425"/>
  <w:characterSpacingControl w:val="doNotCompress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2"/>
  </w:compat>
  <w:rsids>
    <w:rsidRoot w:val="00587AE0"/>
    <w:rsid w:val="0000250A"/>
    <w:rsid w:val="00003BEB"/>
    <w:rsid w:val="00003F63"/>
    <w:rsid w:val="0000534B"/>
    <w:rsid w:val="00005F12"/>
    <w:rsid w:val="00013DED"/>
    <w:rsid w:val="00020B60"/>
    <w:rsid w:val="00022B6A"/>
    <w:rsid w:val="0003033F"/>
    <w:rsid w:val="00032CB9"/>
    <w:rsid w:val="000358CE"/>
    <w:rsid w:val="00043BA4"/>
    <w:rsid w:val="000505A3"/>
    <w:rsid w:val="00052460"/>
    <w:rsid w:val="0005325D"/>
    <w:rsid w:val="00053BED"/>
    <w:rsid w:val="0005657E"/>
    <w:rsid w:val="00056E34"/>
    <w:rsid w:val="00062E52"/>
    <w:rsid w:val="00065EE9"/>
    <w:rsid w:val="00075420"/>
    <w:rsid w:val="00076778"/>
    <w:rsid w:val="000803F6"/>
    <w:rsid w:val="00090875"/>
    <w:rsid w:val="00094580"/>
    <w:rsid w:val="000A3A19"/>
    <w:rsid w:val="000A49F6"/>
    <w:rsid w:val="000A7695"/>
    <w:rsid w:val="000B015A"/>
    <w:rsid w:val="000B2185"/>
    <w:rsid w:val="000B3456"/>
    <w:rsid w:val="000B6AB5"/>
    <w:rsid w:val="000C01AA"/>
    <w:rsid w:val="000C35EB"/>
    <w:rsid w:val="000C5DBF"/>
    <w:rsid w:val="000C6772"/>
    <w:rsid w:val="000D56B6"/>
    <w:rsid w:val="000E1075"/>
    <w:rsid w:val="000E3247"/>
    <w:rsid w:val="000E51D7"/>
    <w:rsid w:val="000E61F1"/>
    <w:rsid w:val="00103F49"/>
    <w:rsid w:val="0010550B"/>
    <w:rsid w:val="00105FA0"/>
    <w:rsid w:val="0011181D"/>
    <w:rsid w:val="0012491A"/>
    <w:rsid w:val="00124B27"/>
    <w:rsid w:val="00124E92"/>
    <w:rsid w:val="00131705"/>
    <w:rsid w:val="001343DA"/>
    <w:rsid w:val="0014017C"/>
    <w:rsid w:val="0014330A"/>
    <w:rsid w:val="001438FE"/>
    <w:rsid w:val="001460E6"/>
    <w:rsid w:val="00160664"/>
    <w:rsid w:val="0016190E"/>
    <w:rsid w:val="001668FF"/>
    <w:rsid w:val="001704DB"/>
    <w:rsid w:val="001712C5"/>
    <w:rsid w:val="00171AB9"/>
    <w:rsid w:val="00172564"/>
    <w:rsid w:val="0018605C"/>
    <w:rsid w:val="0019252D"/>
    <w:rsid w:val="001A37D8"/>
    <w:rsid w:val="001A3FC8"/>
    <w:rsid w:val="001B0EC5"/>
    <w:rsid w:val="001B1DAC"/>
    <w:rsid w:val="001B2FCF"/>
    <w:rsid w:val="001C2B2F"/>
    <w:rsid w:val="001C4198"/>
    <w:rsid w:val="001C4763"/>
    <w:rsid w:val="001D0627"/>
    <w:rsid w:val="001D1863"/>
    <w:rsid w:val="001D3627"/>
    <w:rsid w:val="001D5F71"/>
    <w:rsid w:val="001D7E8C"/>
    <w:rsid w:val="001E0777"/>
    <w:rsid w:val="001E25FE"/>
    <w:rsid w:val="001E2A35"/>
    <w:rsid w:val="001E391F"/>
    <w:rsid w:val="001E3989"/>
    <w:rsid w:val="001E46C5"/>
    <w:rsid w:val="001E6773"/>
    <w:rsid w:val="001F3355"/>
    <w:rsid w:val="001F36FD"/>
    <w:rsid w:val="001F43D6"/>
    <w:rsid w:val="001F4A56"/>
    <w:rsid w:val="00200E24"/>
    <w:rsid w:val="00201225"/>
    <w:rsid w:val="00204373"/>
    <w:rsid w:val="002062B4"/>
    <w:rsid w:val="00210070"/>
    <w:rsid w:val="0021223D"/>
    <w:rsid w:val="00214191"/>
    <w:rsid w:val="00217236"/>
    <w:rsid w:val="00222458"/>
    <w:rsid w:val="00223E52"/>
    <w:rsid w:val="00225814"/>
    <w:rsid w:val="002277B8"/>
    <w:rsid w:val="002303BE"/>
    <w:rsid w:val="002414B2"/>
    <w:rsid w:val="0024222D"/>
    <w:rsid w:val="0024263A"/>
    <w:rsid w:val="00246FF2"/>
    <w:rsid w:val="00246FF8"/>
    <w:rsid w:val="00250096"/>
    <w:rsid w:val="00252053"/>
    <w:rsid w:val="0025306A"/>
    <w:rsid w:val="002613CC"/>
    <w:rsid w:val="002641CE"/>
    <w:rsid w:val="002651D7"/>
    <w:rsid w:val="002678A4"/>
    <w:rsid w:val="00267A66"/>
    <w:rsid w:val="002741AC"/>
    <w:rsid w:val="00275416"/>
    <w:rsid w:val="00283A6D"/>
    <w:rsid w:val="00284BFB"/>
    <w:rsid w:val="00286E51"/>
    <w:rsid w:val="00287E7F"/>
    <w:rsid w:val="00290A2F"/>
    <w:rsid w:val="00291172"/>
    <w:rsid w:val="00291A9F"/>
    <w:rsid w:val="00291FD8"/>
    <w:rsid w:val="0029589B"/>
    <w:rsid w:val="00297A97"/>
    <w:rsid w:val="002A32EE"/>
    <w:rsid w:val="002A3E1A"/>
    <w:rsid w:val="002A5008"/>
    <w:rsid w:val="002B411F"/>
    <w:rsid w:val="002B6BC5"/>
    <w:rsid w:val="002B6BF0"/>
    <w:rsid w:val="002C2A0E"/>
    <w:rsid w:val="002C3E45"/>
    <w:rsid w:val="002C51D0"/>
    <w:rsid w:val="002C6E96"/>
    <w:rsid w:val="002D026D"/>
    <w:rsid w:val="002D0C65"/>
    <w:rsid w:val="002D3D61"/>
    <w:rsid w:val="002D3E14"/>
    <w:rsid w:val="002D7464"/>
    <w:rsid w:val="002E4F01"/>
    <w:rsid w:val="002E7D49"/>
    <w:rsid w:val="002F04D0"/>
    <w:rsid w:val="002F0FB5"/>
    <w:rsid w:val="002F1BB9"/>
    <w:rsid w:val="002F272B"/>
    <w:rsid w:val="002F32E1"/>
    <w:rsid w:val="002F6ECF"/>
    <w:rsid w:val="003012FA"/>
    <w:rsid w:val="003107DF"/>
    <w:rsid w:val="00315029"/>
    <w:rsid w:val="00317C9B"/>
    <w:rsid w:val="00320B8D"/>
    <w:rsid w:val="00343171"/>
    <w:rsid w:val="00343692"/>
    <w:rsid w:val="003466F8"/>
    <w:rsid w:val="0035056F"/>
    <w:rsid w:val="00350612"/>
    <w:rsid w:val="00350C93"/>
    <w:rsid w:val="00352E92"/>
    <w:rsid w:val="00357902"/>
    <w:rsid w:val="00360376"/>
    <w:rsid w:val="00361356"/>
    <w:rsid w:val="003627E2"/>
    <w:rsid w:val="00366564"/>
    <w:rsid w:val="00366B1E"/>
    <w:rsid w:val="00370DA7"/>
    <w:rsid w:val="003747F0"/>
    <w:rsid w:val="00377E7D"/>
    <w:rsid w:val="0038402A"/>
    <w:rsid w:val="0038686A"/>
    <w:rsid w:val="00393370"/>
    <w:rsid w:val="003937DC"/>
    <w:rsid w:val="00393F73"/>
    <w:rsid w:val="003966D5"/>
    <w:rsid w:val="003A3D3B"/>
    <w:rsid w:val="003A5C6D"/>
    <w:rsid w:val="003B1633"/>
    <w:rsid w:val="003B232A"/>
    <w:rsid w:val="003B2476"/>
    <w:rsid w:val="003B43F9"/>
    <w:rsid w:val="003C1847"/>
    <w:rsid w:val="003D158D"/>
    <w:rsid w:val="003D1F8F"/>
    <w:rsid w:val="003D53B6"/>
    <w:rsid w:val="003E02AC"/>
    <w:rsid w:val="003E4C2A"/>
    <w:rsid w:val="003E5A18"/>
    <w:rsid w:val="003E5D23"/>
    <w:rsid w:val="003E67B1"/>
    <w:rsid w:val="003F406B"/>
    <w:rsid w:val="003F723D"/>
    <w:rsid w:val="0040536D"/>
    <w:rsid w:val="0041036E"/>
    <w:rsid w:val="004173CD"/>
    <w:rsid w:val="004200D3"/>
    <w:rsid w:val="00420295"/>
    <w:rsid w:val="00430E75"/>
    <w:rsid w:val="00437AF6"/>
    <w:rsid w:val="00442A45"/>
    <w:rsid w:val="00444A0F"/>
    <w:rsid w:val="004524ED"/>
    <w:rsid w:val="0045578F"/>
    <w:rsid w:val="00455FAA"/>
    <w:rsid w:val="00461B81"/>
    <w:rsid w:val="00463217"/>
    <w:rsid w:val="004739C0"/>
    <w:rsid w:val="004763CF"/>
    <w:rsid w:val="00476486"/>
    <w:rsid w:val="00477C41"/>
    <w:rsid w:val="00484026"/>
    <w:rsid w:val="0048532E"/>
    <w:rsid w:val="0048624B"/>
    <w:rsid w:val="00486451"/>
    <w:rsid w:val="00486A11"/>
    <w:rsid w:val="004873B9"/>
    <w:rsid w:val="00487716"/>
    <w:rsid w:val="00487D1D"/>
    <w:rsid w:val="004907B6"/>
    <w:rsid w:val="004950FA"/>
    <w:rsid w:val="00495D8A"/>
    <w:rsid w:val="00496215"/>
    <w:rsid w:val="004A192D"/>
    <w:rsid w:val="004A287E"/>
    <w:rsid w:val="004A37F4"/>
    <w:rsid w:val="004A4DC0"/>
    <w:rsid w:val="004A70FE"/>
    <w:rsid w:val="004B2D39"/>
    <w:rsid w:val="004B5DED"/>
    <w:rsid w:val="004B7E8C"/>
    <w:rsid w:val="004C1CE8"/>
    <w:rsid w:val="004C21F5"/>
    <w:rsid w:val="004C2FC9"/>
    <w:rsid w:val="004C6699"/>
    <w:rsid w:val="004D0D19"/>
    <w:rsid w:val="004D1745"/>
    <w:rsid w:val="004D5F12"/>
    <w:rsid w:val="004D78FC"/>
    <w:rsid w:val="004E1FC2"/>
    <w:rsid w:val="004E6932"/>
    <w:rsid w:val="004F0963"/>
    <w:rsid w:val="005007B4"/>
    <w:rsid w:val="00501EA8"/>
    <w:rsid w:val="005025BC"/>
    <w:rsid w:val="005069A4"/>
    <w:rsid w:val="00507851"/>
    <w:rsid w:val="0052112B"/>
    <w:rsid w:val="00522540"/>
    <w:rsid w:val="005228EC"/>
    <w:rsid w:val="00525E84"/>
    <w:rsid w:val="00525F3E"/>
    <w:rsid w:val="00535B5C"/>
    <w:rsid w:val="00535D5B"/>
    <w:rsid w:val="00540E81"/>
    <w:rsid w:val="0054281D"/>
    <w:rsid w:val="0054309A"/>
    <w:rsid w:val="0054441A"/>
    <w:rsid w:val="0055650A"/>
    <w:rsid w:val="00561D86"/>
    <w:rsid w:val="00563184"/>
    <w:rsid w:val="00565BCE"/>
    <w:rsid w:val="0057236C"/>
    <w:rsid w:val="005724B4"/>
    <w:rsid w:val="005751CF"/>
    <w:rsid w:val="00576C89"/>
    <w:rsid w:val="00577560"/>
    <w:rsid w:val="00580BBE"/>
    <w:rsid w:val="0058677C"/>
    <w:rsid w:val="00587AE0"/>
    <w:rsid w:val="00590EF3"/>
    <w:rsid w:val="00591A74"/>
    <w:rsid w:val="00592D89"/>
    <w:rsid w:val="00592E58"/>
    <w:rsid w:val="00593BCC"/>
    <w:rsid w:val="00596E82"/>
    <w:rsid w:val="00597FEC"/>
    <w:rsid w:val="005A141F"/>
    <w:rsid w:val="005C256D"/>
    <w:rsid w:val="005C2F5B"/>
    <w:rsid w:val="005C3B24"/>
    <w:rsid w:val="005D2647"/>
    <w:rsid w:val="005D3D1D"/>
    <w:rsid w:val="005D57DB"/>
    <w:rsid w:val="005E0AEE"/>
    <w:rsid w:val="005E0FA5"/>
    <w:rsid w:val="005E34EA"/>
    <w:rsid w:val="005E3940"/>
    <w:rsid w:val="005E49D1"/>
    <w:rsid w:val="005E4C2E"/>
    <w:rsid w:val="005E7D5F"/>
    <w:rsid w:val="006012AA"/>
    <w:rsid w:val="00601F56"/>
    <w:rsid w:val="006042E2"/>
    <w:rsid w:val="00605DD8"/>
    <w:rsid w:val="006111D8"/>
    <w:rsid w:val="0061228E"/>
    <w:rsid w:val="006213C6"/>
    <w:rsid w:val="006221A4"/>
    <w:rsid w:val="00626625"/>
    <w:rsid w:val="0063446A"/>
    <w:rsid w:val="00635DEE"/>
    <w:rsid w:val="00652204"/>
    <w:rsid w:val="00652FD9"/>
    <w:rsid w:val="00653E49"/>
    <w:rsid w:val="00665E1D"/>
    <w:rsid w:val="006660FD"/>
    <w:rsid w:val="00673CC2"/>
    <w:rsid w:val="0067552A"/>
    <w:rsid w:val="0067561B"/>
    <w:rsid w:val="00682B1C"/>
    <w:rsid w:val="006840E6"/>
    <w:rsid w:val="00690379"/>
    <w:rsid w:val="00693FE9"/>
    <w:rsid w:val="00694C95"/>
    <w:rsid w:val="00695E33"/>
    <w:rsid w:val="00696D28"/>
    <w:rsid w:val="006A0769"/>
    <w:rsid w:val="006A41C9"/>
    <w:rsid w:val="006A4671"/>
    <w:rsid w:val="006A60C5"/>
    <w:rsid w:val="006B0E5C"/>
    <w:rsid w:val="006B29D8"/>
    <w:rsid w:val="006C2509"/>
    <w:rsid w:val="006C47C7"/>
    <w:rsid w:val="006C7F51"/>
    <w:rsid w:val="006D5BCD"/>
    <w:rsid w:val="006D6160"/>
    <w:rsid w:val="006D65BE"/>
    <w:rsid w:val="006E2879"/>
    <w:rsid w:val="006E4BF1"/>
    <w:rsid w:val="006E648D"/>
    <w:rsid w:val="006F422D"/>
    <w:rsid w:val="006F5C44"/>
    <w:rsid w:val="006F7226"/>
    <w:rsid w:val="006F775C"/>
    <w:rsid w:val="00701228"/>
    <w:rsid w:val="00702C34"/>
    <w:rsid w:val="0070314E"/>
    <w:rsid w:val="0070657D"/>
    <w:rsid w:val="00710537"/>
    <w:rsid w:val="0071127B"/>
    <w:rsid w:val="00713910"/>
    <w:rsid w:val="0071436C"/>
    <w:rsid w:val="007151F5"/>
    <w:rsid w:val="00721930"/>
    <w:rsid w:val="00722205"/>
    <w:rsid w:val="00723A53"/>
    <w:rsid w:val="00731721"/>
    <w:rsid w:val="007325E4"/>
    <w:rsid w:val="007334D6"/>
    <w:rsid w:val="00734E5E"/>
    <w:rsid w:val="0073501A"/>
    <w:rsid w:val="00736297"/>
    <w:rsid w:val="007375B8"/>
    <w:rsid w:val="007449FB"/>
    <w:rsid w:val="00746D98"/>
    <w:rsid w:val="00747010"/>
    <w:rsid w:val="007508D2"/>
    <w:rsid w:val="00750939"/>
    <w:rsid w:val="00751C4A"/>
    <w:rsid w:val="00755AAA"/>
    <w:rsid w:val="00756EEA"/>
    <w:rsid w:val="0076074E"/>
    <w:rsid w:val="0077158B"/>
    <w:rsid w:val="0077480C"/>
    <w:rsid w:val="00775A2C"/>
    <w:rsid w:val="00780201"/>
    <w:rsid w:val="0078213A"/>
    <w:rsid w:val="00785BE4"/>
    <w:rsid w:val="00793A89"/>
    <w:rsid w:val="00796CF1"/>
    <w:rsid w:val="007970B9"/>
    <w:rsid w:val="007A3708"/>
    <w:rsid w:val="007A5FB6"/>
    <w:rsid w:val="007A7778"/>
    <w:rsid w:val="007B2D2C"/>
    <w:rsid w:val="007B34F9"/>
    <w:rsid w:val="007B4CD1"/>
    <w:rsid w:val="007D494F"/>
    <w:rsid w:val="007E32CA"/>
    <w:rsid w:val="007E5F73"/>
    <w:rsid w:val="007F2EEC"/>
    <w:rsid w:val="0080272F"/>
    <w:rsid w:val="00811F10"/>
    <w:rsid w:val="008151EA"/>
    <w:rsid w:val="008164C1"/>
    <w:rsid w:val="008165CB"/>
    <w:rsid w:val="008169A6"/>
    <w:rsid w:val="00821CF2"/>
    <w:rsid w:val="00822801"/>
    <w:rsid w:val="0083391C"/>
    <w:rsid w:val="0084193E"/>
    <w:rsid w:val="008430D3"/>
    <w:rsid w:val="00843675"/>
    <w:rsid w:val="00843C7A"/>
    <w:rsid w:val="00850C25"/>
    <w:rsid w:val="00850C69"/>
    <w:rsid w:val="00851CDF"/>
    <w:rsid w:val="00860865"/>
    <w:rsid w:val="008610D7"/>
    <w:rsid w:val="00864F19"/>
    <w:rsid w:val="0087028A"/>
    <w:rsid w:val="00871811"/>
    <w:rsid w:val="00873111"/>
    <w:rsid w:val="00874582"/>
    <w:rsid w:val="008754A9"/>
    <w:rsid w:val="008767A2"/>
    <w:rsid w:val="008806E0"/>
    <w:rsid w:val="008832B5"/>
    <w:rsid w:val="00884292"/>
    <w:rsid w:val="00884A10"/>
    <w:rsid w:val="00884ACF"/>
    <w:rsid w:val="00890364"/>
    <w:rsid w:val="00894933"/>
    <w:rsid w:val="0089704F"/>
    <w:rsid w:val="008A19C9"/>
    <w:rsid w:val="008A3124"/>
    <w:rsid w:val="008A3675"/>
    <w:rsid w:val="008A4DF4"/>
    <w:rsid w:val="008A6D19"/>
    <w:rsid w:val="008B1A90"/>
    <w:rsid w:val="008C0A07"/>
    <w:rsid w:val="008D1038"/>
    <w:rsid w:val="008D7D02"/>
    <w:rsid w:val="008E4091"/>
    <w:rsid w:val="008E5131"/>
    <w:rsid w:val="008E5FEA"/>
    <w:rsid w:val="008E693D"/>
    <w:rsid w:val="008F1630"/>
    <w:rsid w:val="008F2BBC"/>
    <w:rsid w:val="0090210A"/>
    <w:rsid w:val="00903563"/>
    <w:rsid w:val="009120B4"/>
    <w:rsid w:val="00912C05"/>
    <w:rsid w:val="00915ADE"/>
    <w:rsid w:val="0092041D"/>
    <w:rsid w:val="00926803"/>
    <w:rsid w:val="00927472"/>
    <w:rsid w:val="00927A5B"/>
    <w:rsid w:val="00932852"/>
    <w:rsid w:val="00932987"/>
    <w:rsid w:val="0093384C"/>
    <w:rsid w:val="00937C62"/>
    <w:rsid w:val="00940886"/>
    <w:rsid w:val="00942E6A"/>
    <w:rsid w:val="009439E9"/>
    <w:rsid w:val="00945F5D"/>
    <w:rsid w:val="00946FAF"/>
    <w:rsid w:val="009532E2"/>
    <w:rsid w:val="00960033"/>
    <w:rsid w:val="00975F34"/>
    <w:rsid w:val="0098362E"/>
    <w:rsid w:val="009876F8"/>
    <w:rsid w:val="00992A58"/>
    <w:rsid w:val="00994BC8"/>
    <w:rsid w:val="009A3CE8"/>
    <w:rsid w:val="009B5522"/>
    <w:rsid w:val="009B7145"/>
    <w:rsid w:val="009C2E11"/>
    <w:rsid w:val="009C5792"/>
    <w:rsid w:val="009D0997"/>
    <w:rsid w:val="009D1E96"/>
    <w:rsid w:val="009D4870"/>
    <w:rsid w:val="009E5772"/>
    <w:rsid w:val="009E5EAA"/>
    <w:rsid w:val="009E6C40"/>
    <w:rsid w:val="009F2BEF"/>
    <w:rsid w:val="009F3CEA"/>
    <w:rsid w:val="009F7F8D"/>
    <w:rsid w:val="00A00595"/>
    <w:rsid w:val="00A0462A"/>
    <w:rsid w:val="00A0561F"/>
    <w:rsid w:val="00A0663E"/>
    <w:rsid w:val="00A134C2"/>
    <w:rsid w:val="00A21CA6"/>
    <w:rsid w:val="00A302E0"/>
    <w:rsid w:val="00A307CA"/>
    <w:rsid w:val="00A33D96"/>
    <w:rsid w:val="00A453E5"/>
    <w:rsid w:val="00A5085C"/>
    <w:rsid w:val="00A52CB2"/>
    <w:rsid w:val="00A540AD"/>
    <w:rsid w:val="00A56139"/>
    <w:rsid w:val="00A56D47"/>
    <w:rsid w:val="00A61CB6"/>
    <w:rsid w:val="00A666B3"/>
    <w:rsid w:val="00A7068E"/>
    <w:rsid w:val="00A7177A"/>
    <w:rsid w:val="00A7574F"/>
    <w:rsid w:val="00A8193E"/>
    <w:rsid w:val="00A826F9"/>
    <w:rsid w:val="00A85AF2"/>
    <w:rsid w:val="00A867CE"/>
    <w:rsid w:val="00A9043C"/>
    <w:rsid w:val="00A916B8"/>
    <w:rsid w:val="00A92AAB"/>
    <w:rsid w:val="00A92F4F"/>
    <w:rsid w:val="00A933A1"/>
    <w:rsid w:val="00A973D6"/>
    <w:rsid w:val="00AA309D"/>
    <w:rsid w:val="00AA3E28"/>
    <w:rsid w:val="00AA5418"/>
    <w:rsid w:val="00AA5F0E"/>
    <w:rsid w:val="00AA6E0F"/>
    <w:rsid w:val="00AB10E9"/>
    <w:rsid w:val="00AB1B24"/>
    <w:rsid w:val="00AB1D46"/>
    <w:rsid w:val="00AC0A22"/>
    <w:rsid w:val="00AC3829"/>
    <w:rsid w:val="00AC68DB"/>
    <w:rsid w:val="00AD0B02"/>
    <w:rsid w:val="00AD2600"/>
    <w:rsid w:val="00AE1AF5"/>
    <w:rsid w:val="00AE329A"/>
    <w:rsid w:val="00AF0A06"/>
    <w:rsid w:val="00AF36A5"/>
    <w:rsid w:val="00AF50A7"/>
    <w:rsid w:val="00AF5782"/>
    <w:rsid w:val="00AF79C9"/>
    <w:rsid w:val="00B0055B"/>
    <w:rsid w:val="00B022D5"/>
    <w:rsid w:val="00B05537"/>
    <w:rsid w:val="00B057D4"/>
    <w:rsid w:val="00B109AF"/>
    <w:rsid w:val="00B15D21"/>
    <w:rsid w:val="00B17FCB"/>
    <w:rsid w:val="00B21245"/>
    <w:rsid w:val="00B223A6"/>
    <w:rsid w:val="00B2286E"/>
    <w:rsid w:val="00B254F1"/>
    <w:rsid w:val="00B26373"/>
    <w:rsid w:val="00B30C14"/>
    <w:rsid w:val="00B33337"/>
    <w:rsid w:val="00B351D7"/>
    <w:rsid w:val="00B37F50"/>
    <w:rsid w:val="00B4424A"/>
    <w:rsid w:val="00B45605"/>
    <w:rsid w:val="00B51645"/>
    <w:rsid w:val="00B52D5E"/>
    <w:rsid w:val="00B53B81"/>
    <w:rsid w:val="00B53CAD"/>
    <w:rsid w:val="00B57060"/>
    <w:rsid w:val="00B73F8D"/>
    <w:rsid w:val="00B7702F"/>
    <w:rsid w:val="00B8042D"/>
    <w:rsid w:val="00B81C4A"/>
    <w:rsid w:val="00B8218B"/>
    <w:rsid w:val="00B836DD"/>
    <w:rsid w:val="00B93B43"/>
    <w:rsid w:val="00B9469F"/>
    <w:rsid w:val="00B97CC6"/>
    <w:rsid w:val="00BA021D"/>
    <w:rsid w:val="00BA3E2D"/>
    <w:rsid w:val="00BB3E0C"/>
    <w:rsid w:val="00BB53D7"/>
    <w:rsid w:val="00BB567D"/>
    <w:rsid w:val="00BC0C61"/>
    <w:rsid w:val="00BC5FEF"/>
    <w:rsid w:val="00BD2DAA"/>
    <w:rsid w:val="00BD3352"/>
    <w:rsid w:val="00BD68EC"/>
    <w:rsid w:val="00BE1A22"/>
    <w:rsid w:val="00BE5D88"/>
    <w:rsid w:val="00BE7CD6"/>
    <w:rsid w:val="00BF121F"/>
    <w:rsid w:val="00BF5036"/>
    <w:rsid w:val="00BF5611"/>
    <w:rsid w:val="00BF67C3"/>
    <w:rsid w:val="00BF7A07"/>
    <w:rsid w:val="00C0023E"/>
    <w:rsid w:val="00C04F21"/>
    <w:rsid w:val="00C06219"/>
    <w:rsid w:val="00C0699A"/>
    <w:rsid w:val="00C122D4"/>
    <w:rsid w:val="00C2149E"/>
    <w:rsid w:val="00C26D44"/>
    <w:rsid w:val="00C309AE"/>
    <w:rsid w:val="00C3499E"/>
    <w:rsid w:val="00C365A7"/>
    <w:rsid w:val="00C36C57"/>
    <w:rsid w:val="00C416E1"/>
    <w:rsid w:val="00C41762"/>
    <w:rsid w:val="00C51FD6"/>
    <w:rsid w:val="00C5536F"/>
    <w:rsid w:val="00C65073"/>
    <w:rsid w:val="00C71034"/>
    <w:rsid w:val="00C71369"/>
    <w:rsid w:val="00C73F5F"/>
    <w:rsid w:val="00C7420D"/>
    <w:rsid w:val="00C75AE4"/>
    <w:rsid w:val="00C7695C"/>
    <w:rsid w:val="00C76F0E"/>
    <w:rsid w:val="00C80949"/>
    <w:rsid w:val="00C81531"/>
    <w:rsid w:val="00C90B15"/>
    <w:rsid w:val="00C92609"/>
    <w:rsid w:val="00C94FD5"/>
    <w:rsid w:val="00C97BFA"/>
    <w:rsid w:val="00CA326E"/>
    <w:rsid w:val="00CA6DD2"/>
    <w:rsid w:val="00CA7B55"/>
    <w:rsid w:val="00CB1901"/>
    <w:rsid w:val="00CB46F1"/>
    <w:rsid w:val="00CE4808"/>
    <w:rsid w:val="00CE549B"/>
    <w:rsid w:val="00CF05A4"/>
    <w:rsid w:val="00CF494C"/>
    <w:rsid w:val="00CF5116"/>
    <w:rsid w:val="00CF5709"/>
    <w:rsid w:val="00CF7F25"/>
    <w:rsid w:val="00D00312"/>
    <w:rsid w:val="00D01222"/>
    <w:rsid w:val="00D01919"/>
    <w:rsid w:val="00D01D3A"/>
    <w:rsid w:val="00D078BF"/>
    <w:rsid w:val="00D07931"/>
    <w:rsid w:val="00D11E52"/>
    <w:rsid w:val="00D12C86"/>
    <w:rsid w:val="00D14839"/>
    <w:rsid w:val="00D170E0"/>
    <w:rsid w:val="00D21120"/>
    <w:rsid w:val="00D21E94"/>
    <w:rsid w:val="00D233D7"/>
    <w:rsid w:val="00D25719"/>
    <w:rsid w:val="00D258B9"/>
    <w:rsid w:val="00D2595E"/>
    <w:rsid w:val="00D2730A"/>
    <w:rsid w:val="00D30915"/>
    <w:rsid w:val="00D32DAD"/>
    <w:rsid w:val="00D34F0C"/>
    <w:rsid w:val="00D3698D"/>
    <w:rsid w:val="00D402A3"/>
    <w:rsid w:val="00D40EF5"/>
    <w:rsid w:val="00D42A57"/>
    <w:rsid w:val="00D4303A"/>
    <w:rsid w:val="00D45F72"/>
    <w:rsid w:val="00D53EF4"/>
    <w:rsid w:val="00D55084"/>
    <w:rsid w:val="00D616FA"/>
    <w:rsid w:val="00D6526E"/>
    <w:rsid w:val="00D66919"/>
    <w:rsid w:val="00D71640"/>
    <w:rsid w:val="00D72907"/>
    <w:rsid w:val="00D75B34"/>
    <w:rsid w:val="00D75DF4"/>
    <w:rsid w:val="00D760DE"/>
    <w:rsid w:val="00D84807"/>
    <w:rsid w:val="00D84AA0"/>
    <w:rsid w:val="00D8564D"/>
    <w:rsid w:val="00D9108A"/>
    <w:rsid w:val="00D91F7F"/>
    <w:rsid w:val="00D96BE5"/>
    <w:rsid w:val="00DA0996"/>
    <w:rsid w:val="00DA4794"/>
    <w:rsid w:val="00DA503E"/>
    <w:rsid w:val="00DA71E4"/>
    <w:rsid w:val="00DB26F1"/>
    <w:rsid w:val="00DB3266"/>
    <w:rsid w:val="00DB6FC2"/>
    <w:rsid w:val="00DB7273"/>
    <w:rsid w:val="00DC1FA1"/>
    <w:rsid w:val="00DC2F42"/>
    <w:rsid w:val="00DC3E0E"/>
    <w:rsid w:val="00DC563C"/>
    <w:rsid w:val="00DD24F8"/>
    <w:rsid w:val="00DE020E"/>
    <w:rsid w:val="00DE647D"/>
    <w:rsid w:val="00DF3177"/>
    <w:rsid w:val="00DF7314"/>
    <w:rsid w:val="00E01258"/>
    <w:rsid w:val="00E0163A"/>
    <w:rsid w:val="00E10AC4"/>
    <w:rsid w:val="00E1146B"/>
    <w:rsid w:val="00E20A7D"/>
    <w:rsid w:val="00E21B50"/>
    <w:rsid w:val="00E25E4D"/>
    <w:rsid w:val="00E263E1"/>
    <w:rsid w:val="00E27E5E"/>
    <w:rsid w:val="00E30C64"/>
    <w:rsid w:val="00E31FC4"/>
    <w:rsid w:val="00E321B5"/>
    <w:rsid w:val="00E42268"/>
    <w:rsid w:val="00E44E24"/>
    <w:rsid w:val="00E51827"/>
    <w:rsid w:val="00E5780C"/>
    <w:rsid w:val="00E61268"/>
    <w:rsid w:val="00E61D3A"/>
    <w:rsid w:val="00E63F90"/>
    <w:rsid w:val="00E6454D"/>
    <w:rsid w:val="00E65BBE"/>
    <w:rsid w:val="00E7502D"/>
    <w:rsid w:val="00E81F96"/>
    <w:rsid w:val="00E830B4"/>
    <w:rsid w:val="00E83D33"/>
    <w:rsid w:val="00E86AD9"/>
    <w:rsid w:val="00E91969"/>
    <w:rsid w:val="00E92419"/>
    <w:rsid w:val="00E933F6"/>
    <w:rsid w:val="00EA02AA"/>
    <w:rsid w:val="00EA0A22"/>
    <w:rsid w:val="00EA4A5C"/>
    <w:rsid w:val="00EA65D8"/>
    <w:rsid w:val="00EA66E5"/>
    <w:rsid w:val="00EA67CE"/>
    <w:rsid w:val="00EA7AE3"/>
    <w:rsid w:val="00EB5ED9"/>
    <w:rsid w:val="00EB65FE"/>
    <w:rsid w:val="00EC4965"/>
    <w:rsid w:val="00EE1DE7"/>
    <w:rsid w:val="00EE3DB5"/>
    <w:rsid w:val="00EE42C1"/>
    <w:rsid w:val="00EF4271"/>
    <w:rsid w:val="00F038EE"/>
    <w:rsid w:val="00F126B4"/>
    <w:rsid w:val="00F145BC"/>
    <w:rsid w:val="00F27938"/>
    <w:rsid w:val="00F30260"/>
    <w:rsid w:val="00F360F0"/>
    <w:rsid w:val="00F36357"/>
    <w:rsid w:val="00F40382"/>
    <w:rsid w:val="00F43958"/>
    <w:rsid w:val="00F44787"/>
    <w:rsid w:val="00F44ABC"/>
    <w:rsid w:val="00F503DB"/>
    <w:rsid w:val="00F50B0E"/>
    <w:rsid w:val="00F52BED"/>
    <w:rsid w:val="00F569A3"/>
    <w:rsid w:val="00F569F9"/>
    <w:rsid w:val="00F57400"/>
    <w:rsid w:val="00F65B95"/>
    <w:rsid w:val="00F73171"/>
    <w:rsid w:val="00F7357B"/>
    <w:rsid w:val="00F776F6"/>
    <w:rsid w:val="00F832DD"/>
    <w:rsid w:val="00F91631"/>
    <w:rsid w:val="00F91FA1"/>
    <w:rsid w:val="00F96FDD"/>
    <w:rsid w:val="00FA5582"/>
    <w:rsid w:val="00FA69CA"/>
    <w:rsid w:val="00FB0F31"/>
    <w:rsid w:val="00FC02C3"/>
    <w:rsid w:val="00FC1FE2"/>
    <w:rsid w:val="00FC4966"/>
    <w:rsid w:val="00FD1874"/>
    <w:rsid w:val="00FD4B32"/>
    <w:rsid w:val="00FD4EB9"/>
    <w:rsid w:val="00FD61C6"/>
    <w:rsid w:val="00FE06B3"/>
    <w:rsid w:val="00FE480D"/>
    <w:rsid w:val="00FF2E37"/>
    <w:rsid w:val="00FF4CBA"/>
    <w:rsid w:val="04750AAE"/>
    <w:rsid w:val="095D7E4B"/>
    <w:rsid w:val="12601D6D"/>
    <w:rsid w:val="4F985296"/>
    <w:rsid w:val="655F408B"/>
    <w:rsid w:val="76863ACE"/>
    <w:rsid w:val="783F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52"/>
        <o:r id="V:Rule2" type="connector" idref="#_x0000_s1053"/>
        <o:r id="V:Rule3" type="connector" idref="#_x0000_s1058"/>
        <o:r id="V:Rule4" type="connector" idref="#_x0000_s1060"/>
        <o:r id="V:Rule5" type="connector" idref="#_x0000_s1063"/>
        <o:r id="V:Rule6" type="connector" idref="#_x0000_s1064"/>
        <o:r id="V:Rule7" type="connector" idref="#_x0000_s1067"/>
        <o:r id="V:Rule8" type="connector" idref="#_x0000_s1068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sv-SE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35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Cs/>
    </w:rPr>
  </w:style>
  <w:style w:type="paragraph" w:styleId="6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</w:rPr>
  </w:style>
  <w:style w:type="paragraph" w:styleId="7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</w:rPr>
  </w:style>
  <w:style w:type="paragraph" w:styleId="8">
    <w:name w:val="heading 7"/>
    <w:basedOn w:val="1"/>
    <w:next w:val="1"/>
    <w:link w:val="38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">
    <w:name w:val="heading 8"/>
    <w:basedOn w:val="1"/>
    <w:next w:val="1"/>
    <w:link w:val="39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paragraph" w:styleId="10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uiPriority w:val="39"/>
    <w:pPr>
      <w:spacing w:after="100"/>
      <w:ind w:left="1320"/>
    </w:pPr>
    <w:rPr>
      <w:lang w:eastAsia="sv-SE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13">
    <w:name w:val="annotation text"/>
    <w:basedOn w:val="1"/>
    <w:link w:val="4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4">
    <w:name w:val="toc 5"/>
    <w:basedOn w:val="1"/>
    <w:next w:val="1"/>
    <w:unhideWhenUsed/>
    <w:qFormat/>
    <w:uiPriority w:val="39"/>
    <w:pPr>
      <w:spacing w:after="100"/>
      <w:ind w:left="880"/>
    </w:pPr>
    <w:rPr>
      <w:lang w:eastAsia="sv-SE"/>
    </w:rPr>
  </w:style>
  <w:style w:type="paragraph" w:styleId="15">
    <w:name w:val="toc 3"/>
    <w:basedOn w:val="1"/>
    <w:next w:val="1"/>
    <w:unhideWhenUsed/>
    <w:uiPriority w:val="39"/>
    <w:pPr>
      <w:spacing w:after="100"/>
      <w:ind w:left="440"/>
    </w:pPr>
  </w:style>
  <w:style w:type="paragraph" w:styleId="16">
    <w:name w:val="toc 8"/>
    <w:basedOn w:val="1"/>
    <w:next w:val="1"/>
    <w:unhideWhenUsed/>
    <w:uiPriority w:val="39"/>
    <w:pPr>
      <w:spacing w:after="100"/>
      <w:ind w:left="1540"/>
    </w:pPr>
    <w:rPr>
      <w:lang w:eastAsia="sv-SE"/>
    </w:rPr>
  </w:style>
  <w:style w:type="paragraph" w:styleId="17">
    <w:name w:val="Balloon Text"/>
    <w:basedOn w:val="1"/>
    <w:link w:val="4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8">
    <w:name w:val="footer"/>
    <w:basedOn w:val="1"/>
    <w:link w:val="44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9">
    <w:name w:val="header"/>
    <w:basedOn w:val="1"/>
    <w:link w:val="43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20">
    <w:name w:val="toc 1"/>
    <w:basedOn w:val="1"/>
    <w:next w:val="1"/>
    <w:unhideWhenUsed/>
    <w:qFormat/>
    <w:uiPriority w:val="39"/>
    <w:pPr>
      <w:spacing w:after="100"/>
    </w:pPr>
  </w:style>
  <w:style w:type="paragraph" w:styleId="21">
    <w:name w:val="toc 4"/>
    <w:basedOn w:val="1"/>
    <w:next w:val="1"/>
    <w:unhideWhenUsed/>
    <w:uiPriority w:val="39"/>
    <w:pPr>
      <w:spacing w:after="100"/>
      <w:ind w:left="660"/>
    </w:pPr>
    <w:rPr>
      <w:lang w:eastAsia="sv-SE"/>
    </w:rPr>
  </w:style>
  <w:style w:type="paragraph" w:styleId="22">
    <w:name w:val="toc 6"/>
    <w:basedOn w:val="1"/>
    <w:next w:val="1"/>
    <w:unhideWhenUsed/>
    <w:qFormat/>
    <w:uiPriority w:val="39"/>
    <w:pPr>
      <w:spacing w:after="100"/>
      <w:ind w:left="1100"/>
    </w:pPr>
    <w:rPr>
      <w:lang w:eastAsia="sv-SE"/>
    </w:rPr>
  </w:style>
  <w:style w:type="paragraph" w:styleId="23">
    <w:name w:val="toc 2"/>
    <w:basedOn w:val="1"/>
    <w:next w:val="1"/>
    <w:unhideWhenUsed/>
    <w:uiPriority w:val="39"/>
    <w:pPr>
      <w:spacing w:after="100"/>
      <w:ind w:left="220"/>
    </w:pPr>
  </w:style>
  <w:style w:type="paragraph" w:styleId="24">
    <w:name w:val="toc 9"/>
    <w:basedOn w:val="1"/>
    <w:next w:val="1"/>
    <w:unhideWhenUsed/>
    <w:uiPriority w:val="39"/>
    <w:pPr>
      <w:spacing w:after="100"/>
      <w:ind w:left="1760"/>
    </w:pPr>
    <w:rPr>
      <w:lang w:eastAsia="sv-SE"/>
    </w:rPr>
  </w:style>
  <w:style w:type="paragraph" w:styleId="2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paragraph" w:styleId="26">
    <w:name w:val="annotation subject"/>
    <w:basedOn w:val="13"/>
    <w:next w:val="13"/>
    <w:link w:val="48"/>
    <w:semiHidden/>
    <w:unhideWhenUsed/>
    <w:uiPriority w:val="99"/>
    <w:rPr>
      <w:b/>
      <w:bCs/>
    </w:rPr>
  </w:style>
  <w:style w:type="table" w:styleId="28">
    <w:name w:val="Table Grid"/>
    <w:basedOn w:val="2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0">
    <w:name w:val="Hyperlink"/>
    <w:basedOn w:val="29"/>
    <w:unhideWhenUsed/>
    <w:uiPriority w:val="99"/>
    <w:rPr>
      <w:color w:val="0000FF" w:themeColor="hyperlink"/>
      <w:u w:val="single"/>
    </w:rPr>
  </w:style>
  <w:style w:type="character" w:styleId="31">
    <w:name w:val="annotation reference"/>
    <w:basedOn w:val="29"/>
    <w:semiHidden/>
    <w:unhideWhenUsed/>
    <w:qFormat/>
    <w:uiPriority w:val="99"/>
    <w:rPr>
      <w:sz w:val="16"/>
      <w:szCs w:val="16"/>
    </w:rPr>
  </w:style>
  <w:style w:type="character" w:customStyle="1" w:styleId="32">
    <w:name w:val="标题 1 Char"/>
    <w:basedOn w:val="29"/>
    <w:link w:val="2"/>
    <w:uiPriority w:val="9"/>
    <w:rPr>
      <w:rFonts w:asciiTheme="majorHAnsi" w:hAnsiTheme="majorHAnsi" w:eastAsiaTheme="majorEastAsia" w:cstheme="majorBidi"/>
      <w:b/>
      <w:bCs/>
      <w:sz w:val="28"/>
      <w:szCs w:val="28"/>
      <w:lang w:val="sv-SE" w:eastAsia="en-US"/>
    </w:rPr>
  </w:style>
  <w:style w:type="character" w:customStyle="1" w:styleId="33">
    <w:name w:val="标题 2 Char"/>
    <w:basedOn w:val="29"/>
    <w:link w:val="3"/>
    <w:uiPriority w:val="9"/>
    <w:rPr>
      <w:rFonts w:asciiTheme="majorHAnsi" w:hAnsiTheme="majorHAnsi" w:eastAsiaTheme="majorEastAsia" w:cstheme="majorBidi"/>
      <w:b/>
      <w:bCs/>
      <w:sz w:val="26"/>
      <w:szCs w:val="26"/>
      <w:lang w:val="sv-SE" w:eastAsia="en-US"/>
    </w:rPr>
  </w:style>
  <w:style w:type="character" w:customStyle="1" w:styleId="34">
    <w:name w:val="标题 3 Char"/>
    <w:basedOn w:val="29"/>
    <w:link w:val="4"/>
    <w:uiPriority w:val="9"/>
    <w:rPr>
      <w:rFonts w:asciiTheme="majorHAnsi" w:hAnsiTheme="majorHAnsi" w:eastAsiaTheme="majorEastAsia" w:cstheme="majorBidi"/>
      <w:b/>
      <w:bCs/>
      <w:sz w:val="22"/>
      <w:szCs w:val="22"/>
      <w:lang w:val="sv-SE" w:eastAsia="en-US"/>
    </w:rPr>
  </w:style>
  <w:style w:type="character" w:customStyle="1" w:styleId="35">
    <w:name w:val="标题 4 Char"/>
    <w:basedOn w:val="29"/>
    <w:link w:val="5"/>
    <w:uiPriority w:val="9"/>
    <w:rPr>
      <w:rFonts w:asciiTheme="majorHAnsi" w:hAnsiTheme="majorHAnsi" w:eastAsiaTheme="majorEastAsia" w:cstheme="majorBidi"/>
      <w:b/>
      <w:bCs/>
      <w:iCs/>
      <w:sz w:val="22"/>
      <w:szCs w:val="22"/>
      <w:lang w:val="sv-SE" w:eastAsia="en-US"/>
    </w:rPr>
  </w:style>
  <w:style w:type="character" w:customStyle="1" w:styleId="36">
    <w:name w:val="标题 5 Char"/>
    <w:basedOn w:val="29"/>
    <w:link w:val="6"/>
    <w:uiPriority w:val="9"/>
    <w:rPr>
      <w:rFonts w:asciiTheme="majorHAnsi" w:hAnsiTheme="majorHAnsi" w:eastAsiaTheme="majorEastAsia" w:cstheme="majorBidi"/>
      <w:sz w:val="22"/>
      <w:szCs w:val="22"/>
      <w:lang w:val="sv-SE" w:eastAsia="en-US"/>
    </w:rPr>
  </w:style>
  <w:style w:type="character" w:customStyle="1" w:styleId="37">
    <w:name w:val="标题 6 Char"/>
    <w:basedOn w:val="29"/>
    <w:link w:val="7"/>
    <w:uiPriority w:val="9"/>
    <w:rPr>
      <w:rFonts w:asciiTheme="majorHAnsi" w:hAnsiTheme="majorHAnsi" w:eastAsiaTheme="majorEastAsia" w:cstheme="majorBidi"/>
      <w:i/>
      <w:iCs/>
      <w:sz w:val="22"/>
      <w:szCs w:val="22"/>
      <w:lang w:val="sv-SE" w:eastAsia="en-US"/>
    </w:rPr>
  </w:style>
  <w:style w:type="character" w:customStyle="1" w:styleId="38">
    <w:name w:val="标题 7 Char"/>
    <w:basedOn w:val="29"/>
    <w:link w:val="8"/>
    <w:uiPriority w:val="9"/>
    <w:rPr>
      <w:rFonts w:asciiTheme="majorHAnsi" w:hAnsiTheme="majorHAnsi" w:eastAsiaTheme="majorEastAsia" w:cstheme="majorBidi"/>
      <w:i/>
      <w:iCs/>
      <w:sz w:val="22"/>
      <w:szCs w:val="22"/>
      <w:lang w:val="sv-SE" w:eastAsia="en-US"/>
    </w:rPr>
  </w:style>
  <w:style w:type="character" w:customStyle="1" w:styleId="39">
    <w:name w:val="标题 8 Char"/>
    <w:basedOn w:val="29"/>
    <w:link w:val="9"/>
    <w:qFormat/>
    <w:uiPriority w:val="9"/>
    <w:rPr>
      <w:rFonts w:asciiTheme="majorHAnsi" w:hAnsiTheme="majorHAnsi" w:eastAsiaTheme="majorEastAsia" w:cstheme="majorBidi"/>
      <w:color w:val="3F3F3F" w:themeColor="text1" w:themeTint="BF"/>
      <w:lang w:val="sv-SE" w:eastAsia="en-US"/>
    </w:rPr>
  </w:style>
  <w:style w:type="character" w:customStyle="1" w:styleId="40">
    <w:name w:val="标题 9 Char"/>
    <w:basedOn w:val="29"/>
    <w:link w:val="10"/>
    <w:uiPriority w:val="9"/>
    <w:rPr>
      <w:rFonts w:asciiTheme="majorHAnsi" w:hAnsiTheme="majorHAnsi" w:eastAsiaTheme="majorEastAsia" w:cstheme="majorBidi"/>
      <w:i/>
      <w:iCs/>
      <w:color w:val="3F3F3F" w:themeColor="text1" w:themeTint="BF"/>
      <w:lang w:val="sv-SE" w:eastAsia="en-US"/>
    </w:rPr>
  </w:style>
  <w:style w:type="paragraph" w:customStyle="1" w:styleId="41">
    <w:name w:val="Char Char Char Char Char Char Char Char Char"/>
    <w:basedOn w:val="1"/>
    <w:uiPriority w:val="0"/>
    <w:pPr>
      <w:spacing w:after="160" w:line="240" w:lineRule="exact"/>
    </w:pPr>
    <w:rPr>
      <w:rFonts w:ascii="Verdana" w:hAnsi="Verdana" w:eastAsia="宋体" w:cs="Times New Roman"/>
      <w:sz w:val="20"/>
      <w:szCs w:val="20"/>
      <w:lang w:val="en-US"/>
    </w:rPr>
  </w:style>
  <w:style w:type="paragraph" w:styleId="42">
    <w:name w:val="List Paragraph"/>
    <w:basedOn w:val="1"/>
    <w:qFormat/>
    <w:uiPriority w:val="34"/>
    <w:pPr>
      <w:ind w:left="720"/>
      <w:contextualSpacing/>
    </w:pPr>
    <w:rPr>
      <w:rFonts w:ascii="Gill Sans for Saab" w:hAnsi="Gill Sans for Saab" w:eastAsia="宋体" w:cs="Times New Roman"/>
      <w:lang w:val="en-US"/>
    </w:rPr>
  </w:style>
  <w:style w:type="character" w:customStyle="1" w:styleId="43">
    <w:name w:val="页眉 Char"/>
    <w:basedOn w:val="29"/>
    <w:link w:val="19"/>
    <w:qFormat/>
    <w:uiPriority w:val="99"/>
  </w:style>
  <w:style w:type="character" w:customStyle="1" w:styleId="44">
    <w:name w:val="页脚 Char"/>
    <w:basedOn w:val="29"/>
    <w:link w:val="18"/>
    <w:uiPriority w:val="99"/>
  </w:style>
  <w:style w:type="character" w:customStyle="1" w:styleId="45">
    <w:name w:val="批注框文本 Char"/>
    <w:basedOn w:val="29"/>
    <w:link w:val="17"/>
    <w:semiHidden/>
    <w:uiPriority w:val="99"/>
    <w:rPr>
      <w:rFonts w:ascii="Tahoma" w:hAnsi="Tahoma" w:cs="Tahoma"/>
      <w:sz w:val="16"/>
      <w:szCs w:val="16"/>
    </w:rPr>
  </w:style>
  <w:style w:type="paragraph" w:customStyle="1" w:styleId="46">
    <w:name w:val="TOC 标题1"/>
    <w:basedOn w:val="2"/>
    <w:next w:val="1"/>
    <w:unhideWhenUsed/>
    <w:qFormat/>
    <w:uiPriority w:val="39"/>
    <w:pPr>
      <w:numPr>
        <w:numId w:val="0"/>
      </w:numPr>
      <w:outlineLvl w:val="9"/>
    </w:pPr>
    <w:rPr>
      <w:lang w:val="en-US" w:eastAsia="ja-JP"/>
    </w:rPr>
  </w:style>
  <w:style w:type="character" w:customStyle="1" w:styleId="47">
    <w:name w:val="批注文字 Char"/>
    <w:basedOn w:val="29"/>
    <w:link w:val="13"/>
    <w:semiHidden/>
    <w:qFormat/>
    <w:uiPriority w:val="99"/>
    <w:rPr>
      <w:sz w:val="20"/>
      <w:szCs w:val="20"/>
    </w:rPr>
  </w:style>
  <w:style w:type="character" w:customStyle="1" w:styleId="48">
    <w:name w:val="批注主题 Char"/>
    <w:basedOn w:val="47"/>
    <w:link w:val="26"/>
    <w:semiHidden/>
    <w:uiPriority w:val="99"/>
    <w:rPr>
      <w:b/>
      <w:bCs/>
      <w:sz w:val="20"/>
      <w:szCs w:val="20"/>
    </w:rPr>
  </w:style>
  <w:style w:type="paragraph" w:customStyle="1" w:styleId="49">
    <w:name w:val="Char Char Char Char Char Char Char Char Char1"/>
    <w:basedOn w:val="1"/>
    <w:uiPriority w:val="0"/>
    <w:pPr>
      <w:spacing w:after="160" w:line="240" w:lineRule="exact"/>
    </w:pPr>
    <w:rPr>
      <w:rFonts w:ascii="Verdana" w:hAnsi="Verdana" w:eastAsia="宋体" w:cs="Times New Roman"/>
      <w:sz w:val="20"/>
      <w:szCs w:val="20"/>
      <w:lang w:val="en-US"/>
    </w:rPr>
  </w:style>
  <w:style w:type="paragraph" w:styleId="5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sv-SE" w:eastAsia="en-US" w:bidi="ar-SA"/>
    </w:rPr>
  </w:style>
  <w:style w:type="paragraph" w:customStyle="1" w:styleId="51">
    <w:name w:val="封面中文题目"/>
    <w:basedOn w:val="1"/>
    <w:uiPriority w:val="0"/>
    <w:pPr>
      <w:spacing w:after="0" w:line="240" w:lineRule="auto"/>
      <w:jc w:val="center"/>
      <w:outlineLvl w:val="0"/>
    </w:pPr>
    <w:rPr>
      <w:rFonts w:ascii="Times New Roman" w:hAnsi="Times New Roman" w:eastAsia="黑体" w:cs="Times New Roman"/>
      <w:iCs/>
      <w:kern w:val="2"/>
      <w:sz w:val="52"/>
      <w:szCs w:val="52"/>
      <w:lang w:val="en-US" w:eastAsia="zh-CN"/>
    </w:rPr>
  </w:style>
  <w:style w:type="paragraph" w:customStyle="1" w:styleId="52">
    <w:name w:val="封面英文格式"/>
    <w:basedOn w:val="1"/>
    <w:uiPriority w:val="0"/>
    <w:pPr>
      <w:snapToGrid w:val="0"/>
      <w:spacing w:after="0" w:line="240" w:lineRule="auto"/>
      <w:jc w:val="center"/>
      <w:outlineLvl w:val="0"/>
    </w:pPr>
    <w:rPr>
      <w:rFonts w:ascii="黑体" w:hAnsi="Times New Roman" w:eastAsia="黑体" w:cs="Times New Roman"/>
      <w:iCs/>
      <w:kern w:val="2"/>
      <w:sz w:val="36"/>
      <w:szCs w:val="36"/>
      <w:lang w:val="en-US" w:eastAsia="zh-CN"/>
    </w:rPr>
  </w:style>
  <w:style w:type="paragraph" w:customStyle="1" w:styleId="53">
    <w:name w:val="MKS Heading 1"/>
    <w:basedOn w:val="1"/>
    <w:next w:val="1"/>
    <w:link w:val="54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8"/>
      <w:szCs w:val="28"/>
    </w:rPr>
  </w:style>
  <w:style w:type="character" w:customStyle="1" w:styleId="54">
    <w:name w:val="MKS Heading 1 Char"/>
    <w:basedOn w:val="29"/>
    <w:link w:val="53"/>
    <w:uiPriority w:val="10"/>
    <w:rPr>
      <w:rFonts w:asciiTheme="majorHAnsi" w:hAnsiTheme="majorHAnsi" w:eastAsiaTheme="majorEastAsia" w:cstheme="majorBidi"/>
      <w:b/>
      <w:bCs/>
      <w:color w:val="4F81BD"/>
      <w:sz w:val="28"/>
      <w:szCs w:val="28"/>
    </w:rPr>
  </w:style>
  <w:style w:type="paragraph" w:customStyle="1" w:styleId="55">
    <w:name w:val="MKS Heading 2"/>
    <w:basedOn w:val="1"/>
    <w:next w:val="1"/>
    <w:link w:val="56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customStyle="1" w:styleId="56">
    <w:name w:val="MKS Heading 2 Char"/>
    <w:basedOn w:val="29"/>
    <w:link w:val="55"/>
    <w:uiPriority w:val="10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customStyle="1" w:styleId="57">
    <w:name w:val="MKS Heading 3"/>
    <w:basedOn w:val="1"/>
    <w:next w:val="1"/>
    <w:link w:val="58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4"/>
      <w:szCs w:val="24"/>
    </w:rPr>
  </w:style>
  <w:style w:type="character" w:customStyle="1" w:styleId="58">
    <w:name w:val="MKS Heading 3 Char"/>
    <w:basedOn w:val="29"/>
    <w:link w:val="57"/>
    <w:uiPriority w:val="10"/>
    <w:rPr>
      <w:rFonts w:asciiTheme="majorHAnsi" w:hAnsiTheme="majorHAnsi" w:eastAsiaTheme="majorEastAsia" w:cstheme="majorBidi"/>
      <w:b/>
      <w:bCs/>
      <w:color w:val="4F81BD"/>
      <w:sz w:val="24"/>
      <w:szCs w:val="24"/>
    </w:rPr>
  </w:style>
  <w:style w:type="paragraph" w:customStyle="1" w:styleId="59">
    <w:name w:val="MKS Heading 4"/>
    <w:basedOn w:val="1"/>
    <w:next w:val="1"/>
    <w:link w:val="60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character" w:customStyle="1" w:styleId="60">
    <w:name w:val="MKS Heading 4 Char"/>
    <w:basedOn w:val="29"/>
    <w:link w:val="59"/>
    <w:uiPriority w:val="10"/>
    <w:rPr>
      <w:rFonts w:asciiTheme="majorHAnsi" w:hAnsiTheme="majorHAnsi" w:eastAsiaTheme="majorEastAsia" w:cstheme="majorBidi"/>
      <w:b/>
      <w:bCs/>
      <w:color w:val="4F81BD"/>
      <w:sz w:val="22"/>
      <w:szCs w:val="22"/>
    </w:rPr>
  </w:style>
  <w:style w:type="paragraph" w:customStyle="1" w:styleId="61">
    <w:name w:val="MKS Heading 5"/>
    <w:basedOn w:val="1"/>
    <w:next w:val="1"/>
    <w:link w:val="62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0"/>
      <w:szCs w:val="20"/>
    </w:rPr>
  </w:style>
  <w:style w:type="character" w:customStyle="1" w:styleId="62">
    <w:name w:val="MKS Heading 5 Char"/>
    <w:basedOn w:val="29"/>
    <w:link w:val="61"/>
    <w:uiPriority w:val="10"/>
    <w:rPr>
      <w:rFonts w:asciiTheme="majorHAnsi" w:hAnsiTheme="majorHAnsi" w:eastAsiaTheme="majorEastAsia" w:cstheme="majorBidi"/>
      <w:b/>
      <w:bCs/>
      <w:color w:val="4F81BD"/>
      <w:sz w:val="20"/>
      <w:szCs w:val="20"/>
    </w:rPr>
  </w:style>
  <w:style w:type="paragraph" w:customStyle="1" w:styleId="63">
    <w:name w:val="MKS Heading 6"/>
    <w:basedOn w:val="1"/>
    <w:next w:val="1"/>
    <w:link w:val="64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18"/>
      <w:szCs w:val="18"/>
    </w:rPr>
  </w:style>
  <w:style w:type="character" w:customStyle="1" w:styleId="64">
    <w:name w:val="MKS Heading 6 Char"/>
    <w:basedOn w:val="29"/>
    <w:link w:val="63"/>
    <w:uiPriority w:val="10"/>
    <w:rPr>
      <w:rFonts w:asciiTheme="majorHAnsi" w:hAnsiTheme="majorHAnsi" w:eastAsiaTheme="majorEastAsia" w:cstheme="majorBidi"/>
      <w:b/>
      <w:bCs/>
      <w:color w:val="4F81BD"/>
      <w:sz w:val="18"/>
      <w:szCs w:val="18"/>
    </w:rPr>
  </w:style>
  <w:style w:type="paragraph" w:customStyle="1" w:styleId="65">
    <w:name w:val="MKS Caption"/>
    <w:basedOn w:val="1"/>
    <w:next w:val="1"/>
    <w:qFormat/>
    <w:uiPriority w:val="11"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66">
    <w:name w:val="MKS Hyperlink"/>
    <w:basedOn w:val="29"/>
    <w:uiPriority w:val="99"/>
    <w:rPr>
      <w:color w:val="0000FF"/>
      <w:u w:val="single"/>
    </w:rPr>
  </w:style>
  <w:style w:type="character" w:customStyle="1" w:styleId="67">
    <w:name w:val="MKS Placeholder Text"/>
    <w:basedOn w:val="29"/>
    <w:uiPriority w:val="99"/>
    <w:rPr>
      <w:color w:val="808080"/>
    </w:rPr>
  </w:style>
  <w:style w:type="character" w:styleId="68">
    <w:name w:val="Placeholder Text"/>
    <w:basedOn w:val="29"/>
    <w:semiHidden/>
    <w:uiPriority w:val="99"/>
    <w:rPr>
      <w:color w:val="808080"/>
    </w:rPr>
  </w:style>
  <w:style w:type="paragraph" w:customStyle="1" w:styleId="69">
    <w:name w:val="HR正文"/>
    <w:basedOn w:val="1"/>
    <w:link w:val="78"/>
    <w:uiPriority w:val="0"/>
    <w:pPr>
      <w:widowControl w:val="0"/>
      <w:spacing w:after="0"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customStyle="1" w:styleId="70">
    <w:name w:val="HR标题1"/>
    <w:basedOn w:val="1"/>
    <w:next w:val="69"/>
    <w:uiPriority w:val="0"/>
    <w:pPr>
      <w:widowControl w:val="0"/>
      <w:numPr>
        <w:ilvl w:val="0"/>
        <w:numId w:val="2"/>
      </w:numPr>
      <w:spacing w:after="0" w:line="360" w:lineRule="auto"/>
      <w:jc w:val="both"/>
      <w:outlineLvl w:val="0"/>
    </w:pPr>
    <w:rPr>
      <w:rFonts w:ascii="Times New Roman" w:hAnsi="Times New Roman" w:eastAsia="黑体" w:cs="Times New Roman"/>
      <w:kern w:val="2"/>
      <w:sz w:val="32"/>
      <w:szCs w:val="24"/>
      <w:lang w:val="en-US" w:eastAsia="zh-CN"/>
    </w:rPr>
  </w:style>
  <w:style w:type="paragraph" w:customStyle="1" w:styleId="71">
    <w:name w:val="HR标题2"/>
    <w:basedOn w:val="1"/>
    <w:next w:val="69"/>
    <w:uiPriority w:val="0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hAnsi="Times New Roman" w:eastAsia="黑体" w:cs="Times New Roman"/>
      <w:kern w:val="2"/>
      <w:sz w:val="28"/>
      <w:szCs w:val="24"/>
      <w:lang w:val="en-US" w:eastAsia="zh-CN"/>
    </w:rPr>
  </w:style>
  <w:style w:type="paragraph" w:customStyle="1" w:styleId="72">
    <w:name w:val="HR标题3"/>
    <w:basedOn w:val="1"/>
    <w:next w:val="69"/>
    <w:uiPriority w:val="0"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hAnsi="Times New Roman" w:eastAsia="黑体" w:cs="Times New Roman"/>
      <w:kern w:val="2"/>
      <w:sz w:val="28"/>
      <w:szCs w:val="24"/>
      <w:lang w:val="en-US" w:eastAsia="zh-CN"/>
    </w:rPr>
  </w:style>
  <w:style w:type="paragraph" w:customStyle="1" w:styleId="73">
    <w:name w:val="HR标题4"/>
    <w:basedOn w:val="1"/>
    <w:next w:val="69"/>
    <w:uiPriority w:val="0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hAnsi="Times New Roman" w:eastAsia="黑体" w:cs="Times New Roman"/>
      <w:kern w:val="2"/>
      <w:sz w:val="21"/>
      <w:szCs w:val="24"/>
      <w:lang w:val="en-US" w:eastAsia="zh-CN"/>
    </w:rPr>
  </w:style>
  <w:style w:type="paragraph" w:customStyle="1" w:styleId="74">
    <w:name w:val="HR标题5"/>
    <w:basedOn w:val="1"/>
    <w:next w:val="69"/>
    <w:uiPriority w:val="0"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hAnsi="Times New Roman" w:eastAsia="黑体" w:cs="Times New Roman"/>
      <w:kern w:val="2"/>
      <w:sz w:val="21"/>
      <w:szCs w:val="24"/>
      <w:lang w:val="en-US" w:eastAsia="zh-CN"/>
    </w:rPr>
  </w:style>
  <w:style w:type="paragraph" w:customStyle="1" w:styleId="75">
    <w:name w:val="HR标题6"/>
    <w:basedOn w:val="1"/>
    <w:next w:val="69"/>
    <w:uiPriority w:val="0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customStyle="1" w:styleId="76">
    <w:name w:val="HR标题7"/>
    <w:basedOn w:val="1"/>
    <w:next w:val="69"/>
    <w:uiPriority w:val="0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customStyle="1" w:styleId="77">
    <w:name w:val="HR标题8"/>
    <w:basedOn w:val="1"/>
    <w:next w:val="69"/>
    <w:uiPriority w:val="0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customStyle="1" w:styleId="78">
    <w:name w:val="HR正文 Char"/>
    <w:link w:val="69"/>
    <w:uiPriority w:val="0"/>
    <w:rPr>
      <w:kern w:val="2"/>
      <w:sz w:val="21"/>
      <w:szCs w:val="24"/>
    </w:rPr>
  </w:style>
  <w:style w:type="paragraph" w:customStyle="1" w:styleId="79">
    <w:name w:val="正文-表格"/>
    <w:basedOn w:val="1"/>
    <w:link w:val="80"/>
    <w:qFormat/>
    <w:uiPriority w:val="0"/>
    <w:pPr>
      <w:widowControl w:val="0"/>
      <w:spacing w:after="0" w:line="240" w:lineRule="auto"/>
      <w:jc w:val="both"/>
    </w:pPr>
    <w:rPr>
      <w:kern w:val="2"/>
      <w:sz w:val="18"/>
      <w:lang w:val="en-US" w:eastAsia="zh-CN"/>
    </w:rPr>
  </w:style>
  <w:style w:type="character" w:customStyle="1" w:styleId="80">
    <w:name w:val="正文-表格 Char"/>
    <w:basedOn w:val="29"/>
    <w:link w:val="79"/>
    <w:uiPriority w:val="0"/>
    <w:rPr>
      <w:rFonts w:asciiTheme="minorHAnsi" w:hAnsiTheme="minorHAnsi" w:eastAsiaTheme="minorEastAsia" w:cstheme="minorBidi"/>
      <w:kern w:val="2"/>
      <w:sz w:val="1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5"/>
    <customShpInfo spid="_x0000_s2052"/>
    <customShpInfo spid="_x0000_s1048"/>
    <customShpInfo spid="_x0000_s1050"/>
    <customShpInfo spid="_x0000_s1052"/>
    <customShpInfo spid="_x0000_s1053"/>
    <customShpInfo spid="_x0000_s1055"/>
    <customShpInfo spid="_x0000_s1058"/>
    <customShpInfo spid="_x0000_s1060"/>
    <customShpInfo spid="_x0000_s1061"/>
    <customShpInfo spid="_x0000_s1063"/>
    <customShpInfo spid="_x0000_s1064"/>
    <customShpInfo spid="_x0000_s1066"/>
    <customShpInfo spid="_x0000_s1067"/>
    <customShpInfo spid="_x0000_s1068"/>
    <customShpInfo spid="_x0000_s104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DA9439-D98E-41B3-8CCB-A267F6789F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documents.dotx</Template>
  <Company>HP</Company>
  <Pages>6</Pages>
  <Words>363</Words>
  <Characters>2073</Characters>
  <Lines>17</Lines>
  <Paragraphs>4</Paragraphs>
  <TotalTime>1053</TotalTime>
  <ScaleCrop>false</ScaleCrop>
  <LinksUpToDate>false</LinksUpToDate>
  <CharactersWithSpaces>2432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2019-09-03T06:21:00Z</dcterms:created>
  <dc:creator>Lars Persson</dc:creator>
  <cp:lastModifiedBy>Seaman</cp:lastModifiedBy>
  <cp:lastPrinted>2017-06-14T05:01:00Z</cp:lastPrinted>
  <dcterms:modified xsi:type="dcterms:W3CDTF">2020-06-20T08:41:00Z</dcterms:modified>
  <dc:title>EEA Development Trends Guidelines</dc:title>
  <cp:revision>246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