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DE359">
      <w:pPr>
        <w:rPr>
          <w:rFonts w:hint="eastAsia"/>
        </w:rPr>
      </w:pPr>
      <w:r>
        <w:rPr>
          <w:rFonts w:hint="eastAsia"/>
        </w:rPr>
        <w:t>串口资源概述</w:t>
      </w:r>
    </w:p>
    <w:p w14:paraId="657C89B1">
      <w:pPr>
        <w:ind w:firstLine="420" w:firstLineChars="0"/>
        <w:rPr>
          <w:rFonts w:hint="eastAsia"/>
        </w:rPr>
      </w:pPr>
      <w:r>
        <w:rPr>
          <w:rFonts w:hint="eastAsia"/>
        </w:rPr>
        <w:t>CC2530有2路功能相同的串行通信接口USARTO和USART1，它们能够分别运行于异步UART模式或者同步SPI模式。</w:t>
      </w:r>
    </w:p>
    <w:p w14:paraId="2B2826FF">
      <w:pPr>
        <w:ind w:firstLine="420" w:firstLineChars="0"/>
        <w:rPr>
          <w:rFonts w:hint="eastAsia"/>
        </w:rPr>
      </w:pPr>
      <w:r>
        <w:rPr>
          <w:rFonts w:hint="eastAsia"/>
        </w:rPr>
        <w:t>在UART模式中，有2个独立的中断向量:发送中断和接收完成中断当串口完成一个字节的接收，就会产生一个接收中断，URXxIF标志位置1，程序可以从数据缓冲寄存器UxDBUF中读接收到的数据。</w:t>
      </w:r>
    </w:p>
    <w:p w14:paraId="4574406D">
      <w:pPr>
        <w:ind w:firstLine="420" w:firstLineChars="0"/>
        <w:rPr>
          <w:rFonts w:hint="eastAsia"/>
        </w:rPr>
      </w:pPr>
      <w:r>
        <w:rPr>
          <w:rFonts w:hint="eastAsia"/>
        </w:rPr>
        <w:t>在发送数据时，字节从串口开始发送时，数据缓冲寄存器UxDBUF就绪，可以接收新的发送数据时，就会产生一个发送中断，UTXxIF标志位置1。也就是说，上一个字节正在发送的时候，新一个字节就能够装入数据缓冲寄存器等待发送。</w:t>
      </w:r>
    </w:p>
    <w:p w14:paraId="3AC0E085">
      <w:pPr>
        <w:ind w:firstLine="420" w:firstLineChars="0"/>
        <w:rPr>
          <w:rFonts w:hint="eastAsia"/>
        </w:rPr>
      </w:pPr>
    </w:p>
    <w:p w14:paraId="1FEC1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串口0有两个位置的引脚</w:t>
      </w:r>
    </w:p>
    <w:p w14:paraId="2E22236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位置1：TX--P0.3</w:t>
      </w:r>
      <w:r>
        <w:rPr>
          <w:rFonts w:hint="eastAsia"/>
          <w:lang w:val="en-US" w:eastAsia="zh-CN"/>
        </w:rPr>
        <w:tab/>
        <w:t>RX--P0.2</w:t>
      </w:r>
    </w:p>
    <w:p w14:paraId="1E41E2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位置2：TX--P1.5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RX--P1.4</w:t>
      </w:r>
    </w:p>
    <w:p w14:paraId="6ADADE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同样的串口1也有两个位置的引脚</w:t>
      </w:r>
    </w:p>
    <w:p w14:paraId="42BEE66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位置1：TX--P0.4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RX--P0.5</w:t>
      </w:r>
    </w:p>
    <w:p w14:paraId="1B6E118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位置2：TX--P1.6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RX--P1.7</w:t>
      </w:r>
    </w:p>
    <w:p w14:paraId="3B5E9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可以通过配置相应的寄存器设置使用哪个位置的引脚</w:t>
      </w:r>
    </w:p>
    <w:p w14:paraId="2D2C0574"/>
    <w:p w14:paraId="1458ADEA">
      <w:r>
        <w:drawing>
          <wp:inline distT="0" distB="0" distL="114300" distR="114300">
            <wp:extent cx="5269230" cy="3658870"/>
            <wp:effectExtent l="0" t="0" r="762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9F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寄存器PERCFG外设控制寄存器即可对使用的引脚进行配置</w:t>
      </w:r>
    </w:p>
    <w:p w14:paraId="7786C2F8">
      <w:r>
        <w:drawing>
          <wp:inline distT="0" distB="0" distL="114300" distR="114300">
            <wp:extent cx="5271770" cy="5494020"/>
            <wp:effectExtent l="0" t="0" r="508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68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UxCSR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控制和状态寄存器</w:t>
      </w:r>
    </w:p>
    <w:p w14:paraId="3633E06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69970"/>
            <wp:effectExtent l="0" t="0" r="5715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5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UxUCR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UART控制寄存器</w:t>
      </w:r>
    </w:p>
    <w:p w14:paraId="17B40E0E"/>
    <w:p w14:paraId="5E4FC50E">
      <w:r>
        <w:drawing>
          <wp:inline distT="0" distB="0" distL="114300" distR="114300">
            <wp:extent cx="5273040" cy="673735"/>
            <wp:effectExtent l="0" t="0" r="3810" b="1206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9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UxDBUF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接收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发送数据缓冲器</w:t>
      </w:r>
    </w:p>
    <w:p w14:paraId="6CD1B0B5"/>
    <w:p w14:paraId="220422DF">
      <w:r>
        <w:drawing>
          <wp:inline distT="0" distB="0" distL="114300" distR="114300">
            <wp:extent cx="5271135" cy="804545"/>
            <wp:effectExtent l="0" t="0" r="571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A2CD">
      <w:pPr>
        <w:jc w:val="center"/>
      </w:pPr>
      <w:r>
        <w:drawing>
          <wp:inline distT="0" distB="0" distL="114300" distR="114300">
            <wp:extent cx="4060825" cy="2011680"/>
            <wp:effectExtent l="0" t="0" r="15875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76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UxBAUD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波特率控制寄存器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UxGCR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通用控制寄存器</w:t>
      </w:r>
    </w:p>
    <w:p w14:paraId="7B6A91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UxBAUD_M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UxGCR.BAUD_E</w:t>
      </w:r>
    </w:p>
    <w:p w14:paraId="67989677">
      <w:pPr>
        <w:numPr>
          <w:ilvl w:val="0"/>
          <w:numId w:val="1"/>
        </w:numPr>
      </w:pPr>
      <w:r>
        <w:rPr>
          <w:rFonts w:hint="eastAsia"/>
          <w:lang w:val="en-US" w:eastAsia="zh-CN"/>
        </w:rPr>
        <w:tab/>
        <w:t>59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</w:t>
      </w:r>
    </w:p>
    <w:p w14:paraId="5B2AB2F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59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</w:p>
    <w:p w14:paraId="11F3617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</w:t>
      </w:r>
    </w:p>
    <w:p w14:paraId="7F0DC59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57600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216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</w:t>
      </w:r>
    </w:p>
    <w:p w14:paraId="127B35C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115200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216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</w:t>
      </w:r>
    </w:p>
    <w:p w14:paraId="01AFC87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以上为32MHz系统时钟下的配置</w:t>
      </w:r>
    </w:p>
    <w:p w14:paraId="2A0C1F7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例如在32MHz系统时钟下，将串口0的波特率设置为9600</w:t>
      </w:r>
    </w:p>
    <w:p w14:paraId="78BEB3E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U0BAUD = 59;</w:t>
      </w:r>
    </w:p>
    <w:p w14:paraId="4258B9D5">
      <w:pPr>
        <w:numPr>
          <w:numId w:val="0"/>
        </w:numPr>
      </w:pPr>
      <w:r>
        <w:rPr>
          <w:rFonts w:hint="eastAsia"/>
          <w:lang w:val="en-US" w:eastAsia="zh-CN"/>
        </w:rPr>
        <w:t>U0GCR = 8;</w:t>
      </w:r>
      <w:r>
        <w:br w:type="textWrapping"/>
      </w:r>
    </w:p>
    <w:p w14:paraId="6E7AE0E3">
      <w:pPr>
        <w:numPr>
          <w:numId w:val="0"/>
        </w:numPr>
      </w:pPr>
    </w:p>
    <w:p w14:paraId="354177D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查看原理图，寻找串口所对应的引脚为P0.2与P0.3</w:t>
      </w:r>
    </w:p>
    <w:p w14:paraId="2E1DFA7E">
      <w:pPr>
        <w:numPr>
          <w:numId w:val="0"/>
        </w:numPr>
        <w:jc w:val="center"/>
      </w:pPr>
      <w:r>
        <w:drawing>
          <wp:inline distT="0" distB="0" distL="114300" distR="114300">
            <wp:extent cx="2897505" cy="1835785"/>
            <wp:effectExtent l="0" t="0" r="17145" b="1206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8AA6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因此串口的配置流程如下</w:t>
      </w:r>
    </w:p>
    <w:p w14:paraId="623B16B2">
      <w:pPr>
        <w:numPr>
          <w:numId w:val="0"/>
        </w:numPr>
        <w:jc w:val="center"/>
      </w:pPr>
      <w:r>
        <w:drawing>
          <wp:inline distT="0" distB="0" distL="114300" distR="114300">
            <wp:extent cx="4098925" cy="2330450"/>
            <wp:effectExtent l="0" t="0" r="15875" b="1270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582F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使用串口发送一个字节数据</w:t>
      </w:r>
    </w:p>
    <w:p w14:paraId="078E0E41"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84550" cy="1182370"/>
            <wp:effectExtent l="0" t="0" r="6350" b="1778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CFE2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使用串口发送一个字符串</w:t>
      </w:r>
    </w:p>
    <w:p w14:paraId="70588F8E">
      <w:pPr>
        <w:numPr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401060" cy="1423670"/>
            <wp:effectExtent l="0" t="0" r="8890" b="508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C35A4"/>
    <w:multiLevelType w:val="singleLevel"/>
    <w:tmpl w:val="869C35A4"/>
    <w:lvl w:ilvl="0" w:tentative="0">
      <w:start w:val="4800"/>
      <w:numFmt w:val="decimal"/>
      <w:lvlText w:val="%1"/>
      <w:lvlJc w:val="left"/>
    </w:lvl>
  </w:abstractNum>
  <w:abstractNum w:abstractNumId="1">
    <w:nsid w:val="F926067D"/>
    <w:multiLevelType w:val="singleLevel"/>
    <w:tmpl w:val="F926067D"/>
    <w:lvl w:ilvl="0" w:tentative="0">
      <w:start w:val="9600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37912"/>
    <w:rsid w:val="34B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2025-06-15T04:45:00Z</dcterms:created>
  <dc:creator>13752</dc:creator>
  <cp:lastModifiedBy>未思</cp:lastModifiedBy>
  <dcterms:modified xsi:type="dcterms:W3CDTF">2025-06-15T13:44:11Z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5D96677038824D71AB895A712EA56578_12</vt:lpwstr>
  </property>
</Properties>
</file>