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46B4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安全应急学院2022年境外合作交流及成果</w:t>
      </w:r>
      <w:bookmarkEnd w:id="0"/>
      <w:r>
        <w:rPr>
          <w:rFonts w:hint="eastAsia" w:ascii="微软雅黑" w:hAnsi="微软雅黑" w:eastAsia="微软雅黑" w:cs="微软雅黑"/>
          <w:i w:val="0"/>
          <w:iCs w:val="0"/>
          <w:caps/>
          <w:color w:val="AAAAAA"/>
          <w:spacing w:val="12"/>
          <w:sz w:val="12"/>
          <w:szCs w:val="12"/>
          <w:shd w:val="clear" w:fill="FFFFFF"/>
        </w:rPr>
        <w:t>时间：2022-12-15</w:t>
      </w:r>
    </w:p>
    <w:p w14:paraId="0867F82D">
      <w:pPr>
        <w:keepNext w:val="0"/>
        <w:keepLines w:val="0"/>
        <w:widowControl/>
        <w:numPr>
          <w:ilvl w:val="0"/>
          <w:numId w:val="1"/>
        </w:numPr>
        <w:suppressLineNumbers w:val="0"/>
        <w:spacing w:before="0" w:beforeAutospacing="1" w:after="0" w:afterAutospacing="1"/>
        <w:ind w:left="0" w:hanging="360"/>
      </w:pPr>
    </w:p>
    <w:p w14:paraId="1B915F7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left"/>
        <w:rPr>
          <w:rFonts w:hint="eastAsia"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i w:val="0"/>
          <w:iCs w:val="0"/>
          <w:caps w:val="0"/>
          <w:color w:val="333333"/>
          <w:spacing w:val="12"/>
          <w:sz w:val="19"/>
          <w:szCs w:val="19"/>
          <w:bdr w:val="none" w:color="auto" w:sz="0" w:space="0"/>
          <w:shd w:val="clear" w:fill="FFFFFF"/>
        </w:rPr>
        <w:t> </w:t>
      </w:r>
    </w:p>
    <w:p w14:paraId="1769235A">
      <w:pPr>
        <w:keepNext w:val="0"/>
        <w:keepLines w:val="0"/>
        <w:widowControl/>
        <w:numPr>
          <w:ilvl w:val="0"/>
          <w:numId w:val="1"/>
        </w:numPr>
        <w:suppressLineNumbers w:val="0"/>
        <w:spacing w:before="0" w:beforeAutospacing="1" w:after="0" w:afterAutospacing="1"/>
        <w:ind w:left="0" w:hanging="360"/>
      </w:pPr>
    </w:p>
    <w:p w14:paraId="6125C470">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1</w:t>
      </w:r>
      <w:r>
        <w:rPr>
          <w:rFonts w:hint="eastAsia" w:ascii="宋体" w:hAnsi="宋体" w:eastAsia="宋体" w:cs="宋体"/>
          <w:i w:val="0"/>
          <w:iCs w:val="0"/>
          <w:caps w:val="0"/>
          <w:color w:val="666666"/>
          <w:spacing w:val="12"/>
          <w:sz w:val="18"/>
          <w:szCs w:val="18"/>
          <w:shd w:val="clear" w:fill="FFFFFF"/>
        </w:rPr>
        <w:t>、科研项目</w:t>
      </w:r>
    </w:p>
    <w:p w14:paraId="6E265C30">
      <w:pPr>
        <w:keepNext w:val="0"/>
        <w:keepLines w:val="0"/>
        <w:widowControl/>
        <w:numPr>
          <w:ilvl w:val="0"/>
          <w:numId w:val="1"/>
        </w:numPr>
        <w:suppressLineNumbers w:val="0"/>
        <w:spacing w:before="0" w:beforeAutospacing="1" w:after="0" w:afterAutospacing="1"/>
        <w:ind w:left="0" w:hanging="360"/>
      </w:pPr>
    </w:p>
    <w:p w14:paraId="7C8819A0">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 </w:t>
      </w:r>
    </w:p>
    <w:p w14:paraId="1EE7A14D">
      <w:pPr>
        <w:keepNext w:val="0"/>
        <w:keepLines w:val="0"/>
        <w:widowControl/>
        <w:numPr>
          <w:ilvl w:val="0"/>
          <w:numId w:val="1"/>
        </w:numPr>
        <w:suppressLineNumbers w:val="0"/>
        <w:spacing w:before="0" w:beforeAutospacing="1" w:after="0" w:afterAutospacing="1"/>
        <w:ind w:left="0" w:hanging="360"/>
      </w:pPr>
    </w:p>
    <w:tbl>
      <w:tblPr>
        <w:tblW w:w="0" w:type="auto"/>
        <w:tblInd w:w="0" w:type="dxa"/>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Layout w:type="autofit"/>
        <w:tblCellMar>
          <w:top w:w="0" w:type="dxa"/>
          <w:left w:w="0" w:type="dxa"/>
          <w:bottom w:w="0" w:type="dxa"/>
          <w:right w:w="0" w:type="dxa"/>
        </w:tblCellMar>
      </w:tblPr>
      <w:tblGrid>
        <w:gridCol w:w="1659"/>
        <w:gridCol w:w="1171"/>
        <w:gridCol w:w="2147"/>
        <w:gridCol w:w="1659"/>
        <w:gridCol w:w="1660"/>
      </w:tblGrid>
      <w:tr w14:paraId="2D87684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c>
          <w:tcPr>
            <w:tcW w:w="1659" w:type="dxa"/>
            <w:tcBorders>
              <w:top w:val="single" w:color="auto" w:sz="8" w:space="0"/>
              <w:left w:val="single" w:color="auto" w:sz="8" w:space="0"/>
              <w:bottom w:val="single" w:color="auto" w:sz="8" w:space="0"/>
              <w:right w:val="single" w:color="auto" w:sz="8" w:space="0"/>
            </w:tcBorders>
            <w:shd w:val="clear"/>
            <w:tcMar>
              <w:left w:w="108" w:type="dxa"/>
              <w:right w:w="108" w:type="dxa"/>
            </w:tcMar>
            <w:vAlign w:val="top"/>
          </w:tcPr>
          <w:p w14:paraId="7C361ABF">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项目名称</w:t>
            </w:r>
          </w:p>
        </w:tc>
        <w:tc>
          <w:tcPr>
            <w:tcW w:w="1171" w:type="dxa"/>
            <w:tcBorders>
              <w:top w:val="single" w:color="auto" w:sz="8" w:space="0"/>
              <w:left w:val="nil"/>
              <w:bottom w:val="single" w:color="auto" w:sz="8" w:space="0"/>
              <w:right w:val="single" w:color="auto" w:sz="8" w:space="0"/>
            </w:tcBorders>
            <w:shd w:val="clear"/>
            <w:tcMar>
              <w:left w:w="108" w:type="dxa"/>
              <w:right w:w="108" w:type="dxa"/>
            </w:tcMar>
            <w:vAlign w:val="top"/>
          </w:tcPr>
          <w:p w14:paraId="2070E1F2">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项目类型</w:t>
            </w:r>
          </w:p>
        </w:tc>
        <w:tc>
          <w:tcPr>
            <w:tcW w:w="2147" w:type="dxa"/>
            <w:tcBorders>
              <w:top w:val="single" w:color="auto" w:sz="8" w:space="0"/>
              <w:left w:val="nil"/>
              <w:bottom w:val="single" w:color="auto" w:sz="8" w:space="0"/>
              <w:right w:val="single" w:color="auto" w:sz="8" w:space="0"/>
            </w:tcBorders>
            <w:shd w:val="clear"/>
            <w:tcMar>
              <w:left w:w="108" w:type="dxa"/>
              <w:right w:w="108" w:type="dxa"/>
            </w:tcMar>
            <w:vAlign w:val="top"/>
          </w:tcPr>
          <w:p w14:paraId="3BA84DC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项目编号</w:t>
            </w:r>
          </w:p>
        </w:tc>
        <w:tc>
          <w:tcPr>
            <w:tcW w:w="1659" w:type="dxa"/>
            <w:tcBorders>
              <w:top w:val="single" w:color="auto" w:sz="8" w:space="0"/>
              <w:left w:val="nil"/>
              <w:bottom w:val="single" w:color="auto" w:sz="8" w:space="0"/>
              <w:right w:val="single" w:color="auto" w:sz="8" w:space="0"/>
            </w:tcBorders>
            <w:shd w:val="clear"/>
            <w:tcMar>
              <w:left w:w="108" w:type="dxa"/>
              <w:right w:w="108" w:type="dxa"/>
            </w:tcMar>
            <w:vAlign w:val="top"/>
          </w:tcPr>
          <w:p w14:paraId="1E8BEA3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合作国家</w:t>
            </w:r>
          </w:p>
        </w:tc>
        <w:tc>
          <w:tcPr>
            <w:tcW w:w="1660" w:type="dxa"/>
            <w:tcBorders>
              <w:top w:val="single" w:color="auto" w:sz="8" w:space="0"/>
              <w:left w:val="nil"/>
              <w:bottom w:val="single" w:color="auto" w:sz="8" w:space="0"/>
              <w:right w:val="single" w:color="auto" w:sz="8" w:space="0"/>
            </w:tcBorders>
            <w:shd w:val="clear"/>
            <w:tcMar>
              <w:left w:w="108" w:type="dxa"/>
              <w:right w:w="108" w:type="dxa"/>
            </w:tcMar>
            <w:vAlign w:val="top"/>
          </w:tcPr>
          <w:p w14:paraId="5D68C564">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负责人</w:t>
            </w:r>
          </w:p>
        </w:tc>
      </w:tr>
      <w:tr w14:paraId="3929C83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tblCellMar>
            <w:top w:w="0" w:type="dxa"/>
            <w:left w:w="0" w:type="dxa"/>
            <w:bottom w:w="0" w:type="dxa"/>
            <w:right w:w="0" w:type="dxa"/>
          </w:tblCellMar>
        </w:tblPrEx>
        <w:tc>
          <w:tcPr>
            <w:tcW w:w="1659" w:type="dxa"/>
            <w:tcBorders>
              <w:top w:val="nil"/>
              <w:left w:val="single" w:color="auto" w:sz="8" w:space="0"/>
              <w:bottom w:val="single" w:color="auto" w:sz="8" w:space="0"/>
              <w:right w:val="single" w:color="auto" w:sz="8" w:space="0"/>
            </w:tcBorders>
            <w:shd w:val="clear"/>
            <w:tcMar>
              <w:left w:w="108" w:type="dxa"/>
              <w:right w:w="108" w:type="dxa"/>
            </w:tcMar>
            <w:vAlign w:val="top"/>
          </w:tcPr>
          <w:p w14:paraId="0C3384E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复杂边界条件下固体炭层微观形态对热解气体内部渗流和传热影响的研究</w:t>
            </w:r>
          </w:p>
        </w:tc>
        <w:tc>
          <w:tcPr>
            <w:tcW w:w="1171" w:type="dxa"/>
            <w:tcBorders>
              <w:top w:val="nil"/>
              <w:left w:val="nil"/>
              <w:bottom w:val="single" w:color="auto" w:sz="8" w:space="0"/>
              <w:right w:val="single" w:color="auto" w:sz="8" w:space="0"/>
            </w:tcBorders>
            <w:shd w:val="clear"/>
            <w:tcMar>
              <w:left w:w="108" w:type="dxa"/>
              <w:right w:w="108" w:type="dxa"/>
            </w:tcMar>
            <w:vAlign w:val="top"/>
          </w:tcPr>
          <w:p w14:paraId="629D6EA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国家自然科学基金国际合作交流项目</w:t>
            </w:r>
          </w:p>
        </w:tc>
        <w:tc>
          <w:tcPr>
            <w:tcW w:w="2147" w:type="dxa"/>
            <w:tcBorders>
              <w:top w:val="nil"/>
              <w:left w:val="nil"/>
              <w:bottom w:val="single" w:color="auto" w:sz="8" w:space="0"/>
              <w:right w:val="single" w:color="auto" w:sz="8" w:space="0"/>
            </w:tcBorders>
            <w:shd w:val="clear"/>
            <w:tcMar>
              <w:left w:w="108" w:type="dxa"/>
              <w:right w:w="108" w:type="dxa"/>
            </w:tcMar>
            <w:vAlign w:val="top"/>
          </w:tcPr>
          <w:p w14:paraId="04B4A0A9">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cs="Times New Roman"/>
                <w:color w:val="666666"/>
                <w:sz w:val="18"/>
                <w:szCs w:val="18"/>
                <w:lang w:val="en-US"/>
              </w:rPr>
              <w:t>20221j0051</w:t>
            </w:r>
          </w:p>
        </w:tc>
        <w:tc>
          <w:tcPr>
            <w:tcW w:w="1659" w:type="dxa"/>
            <w:tcBorders>
              <w:top w:val="nil"/>
              <w:left w:val="nil"/>
              <w:bottom w:val="single" w:color="auto" w:sz="8" w:space="0"/>
              <w:right w:val="single" w:color="auto" w:sz="8" w:space="0"/>
            </w:tcBorders>
            <w:shd w:val="clear"/>
            <w:tcMar>
              <w:left w:w="108" w:type="dxa"/>
              <w:right w:w="108" w:type="dxa"/>
            </w:tcMar>
            <w:vAlign w:val="top"/>
          </w:tcPr>
          <w:p w14:paraId="3994E185">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芬兰</w:t>
            </w:r>
          </w:p>
        </w:tc>
        <w:tc>
          <w:tcPr>
            <w:tcW w:w="1660" w:type="dxa"/>
            <w:tcBorders>
              <w:top w:val="nil"/>
              <w:left w:val="nil"/>
              <w:bottom w:val="single" w:color="auto" w:sz="8" w:space="0"/>
              <w:right w:val="single" w:color="auto" w:sz="8" w:space="0"/>
            </w:tcBorders>
            <w:shd w:val="clear"/>
            <w:tcMar>
              <w:left w:w="108" w:type="dxa"/>
              <w:right w:w="108" w:type="dxa"/>
            </w:tcMar>
            <w:vAlign w:val="top"/>
          </w:tcPr>
          <w:p w14:paraId="3F023CF6">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eastAsia" w:ascii="宋体" w:hAnsi="宋体" w:eastAsia="宋体" w:cs="宋体"/>
                <w:color w:val="666666"/>
                <w:sz w:val="18"/>
                <w:szCs w:val="18"/>
              </w:rPr>
              <w:t>李开源</w:t>
            </w:r>
          </w:p>
        </w:tc>
      </w:tr>
    </w:tbl>
    <w:p w14:paraId="726133D2">
      <w:pPr>
        <w:keepNext w:val="0"/>
        <w:keepLines w:val="0"/>
        <w:widowControl/>
        <w:numPr>
          <w:ilvl w:val="0"/>
          <w:numId w:val="1"/>
        </w:numPr>
        <w:suppressLineNumbers w:val="0"/>
        <w:spacing w:before="0" w:beforeAutospacing="1" w:after="0" w:afterAutospacing="1"/>
        <w:ind w:left="0" w:hanging="360"/>
      </w:pPr>
    </w:p>
    <w:p w14:paraId="5C6F3E50">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 </w:t>
      </w:r>
    </w:p>
    <w:p w14:paraId="0D6D2B6F">
      <w:pPr>
        <w:keepNext w:val="0"/>
        <w:keepLines w:val="0"/>
        <w:widowControl/>
        <w:numPr>
          <w:ilvl w:val="0"/>
          <w:numId w:val="1"/>
        </w:numPr>
        <w:suppressLineNumbers w:val="0"/>
        <w:spacing w:before="0" w:beforeAutospacing="1" w:after="0" w:afterAutospacing="1"/>
        <w:ind w:left="0" w:hanging="360"/>
      </w:pPr>
    </w:p>
    <w:p w14:paraId="1862FE79">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2</w:t>
      </w:r>
      <w:r>
        <w:rPr>
          <w:rFonts w:hint="eastAsia" w:ascii="宋体" w:hAnsi="宋体" w:eastAsia="宋体" w:cs="宋体"/>
          <w:i w:val="0"/>
          <w:iCs w:val="0"/>
          <w:caps w:val="0"/>
          <w:color w:val="666666"/>
          <w:spacing w:val="12"/>
          <w:sz w:val="18"/>
          <w:szCs w:val="18"/>
          <w:shd w:val="clear" w:fill="FFFFFF"/>
        </w:rPr>
        <w:t>、科技论文</w:t>
      </w:r>
    </w:p>
    <w:p w14:paraId="263D79B7">
      <w:pPr>
        <w:keepNext w:val="0"/>
        <w:keepLines w:val="0"/>
        <w:widowControl/>
        <w:numPr>
          <w:ilvl w:val="0"/>
          <w:numId w:val="1"/>
        </w:numPr>
        <w:suppressLineNumbers w:val="0"/>
        <w:spacing w:before="0" w:beforeAutospacing="1" w:after="0" w:afterAutospacing="1"/>
        <w:ind w:left="0" w:hanging="360"/>
      </w:pPr>
    </w:p>
    <w:p w14:paraId="388EB8FB">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[1] Sun X, Yan C, Yan Y, Mi X C, John H S Lee, Hoi Dick Ng. Critical tube diameter for quasi-detonations, Combustion and Flame [J], 2022,112280.</w:t>
      </w:r>
    </w:p>
    <w:p w14:paraId="0499ABA7">
      <w:pPr>
        <w:keepNext w:val="0"/>
        <w:keepLines w:val="0"/>
        <w:widowControl/>
        <w:numPr>
          <w:ilvl w:val="0"/>
          <w:numId w:val="1"/>
        </w:numPr>
        <w:suppressLineNumbers w:val="0"/>
        <w:spacing w:before="0" w:beforeAutospacing="1" w:after="0" w:afterAutospacing="1"/>
        <w:ind w:left="0" w:hanging="360"/>
      </w:pPr>
    </w:p>
    <w:p w14:paraId="44E55617">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[2] Wenyan Pan, Muhammad Awais Gulzar, Zongjun Wang, Chensi Guo. Spatial Distribution and Regional Difference of Environmental Efficiency Based on Carbon Reduction Goals: Evidence From China [J]. Frontiers in Environmental Science, 2022, 1(9), 816071.</w:t>
      </w:r>
    </w:p>
    <w:p w14:paraId="29706451">
      <w:pPr>
        <w:keepNext w:val="0"/>
        <w:keepLines w:val="0"/>
        <w:widowControl/>
        <w:numPr>
          <w:ilvl w:val="0"/>
          <w:numId w:val="1"/>
        </w:numPr>
        <w:suppressLineNumbers w:val="0"/>
        <w:spacing w:before="0" w:beforeAutospacing="1" w:after="0" w:afterAutospacing="1"/>
        <w:ind w:left="0" w:hanging="360"/>
      </w:pPr>
    </w:p>
    <w:p w14:paraId="1A90DAE3">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[3] ANH DODUC, Song Y, Li M. the relationships between foreign direct investment, state-owned investment, private investment, import, export and economic growth in Vietnam [J]. The Singapore Economic Review, 2021: 1-31.</w:t>
      </w:r>
    </w:p>
    <w:p w14:paraId="691FBC25">
      <w:pPr>
        <w:keepNext w:val="0"/>
        <w:keepLines w:val="0"/>
        <w:widowControl/>
        <w:numPr>
          <w:ilvl w:val="0"/>
          <w:numId w:val="1"/>
        </w:numPr>
        <w:suppressLineNumbers w:val="0"/>
        <w:spacing w:before="0" w:beforeAutospacing="1" w:after="0" w:afterAutospacing="1"/>
        <w:ind w:left="0" w:hanging="360"/>
      </w:pPr>
    </w:p>
    <w:p w14:paraId="35255F71">
      <w:pPr>
        <w:keepNext w:val="0"/>
        <w:keepLines w:val="0"/>
        <w:widowControl/>
        <w:suppressLineNumbers w:val="0"/>
        <w:spacing w:before="0" w:beforeAutospacing="1" w:after="0" w:afterAutospacing="1" w:line="360" w:lineRule="atLeast"/>
        <w:ind w:left="0" w:right="0"/>
        <w:jc w:val="left"/>
        <w:rPr>
          <w:color w:val="666666"/>
          <w:sz w:val="18"/>
          <w:szCs w:val="18"/>
        </w:rPr>
      </w:pPr>
      <w:r>
        <w:rPr>
          <w:rFonts w:hint="default" w:ascii="Times New Roman" w:hAnsi="Times New Roman" w:eastAsia="微软雅黑" w:cs="Times New Roman"/>
          <w:i w:val="0"/>
          <w:iCs w:val="0"/>
          <w:caps w:val="0"/>
          <w:color w:val="666666"/>
          <w:spacing w:val="12"/>
          <w:sz w:val="18"/>
          <w:szCs w:val="18"/>
          <w:shd w:val="clear" w:fill="FFFFFF"/>
          <w:lang w:val="en-US"/>
        </w:rPr>
        <w:t>[4] Zhang Y., Kougioumtzoglou I.A., Kong F., Exploiting expansion basis sparsity for efﬁcient stochastic response determination of nonlinear systems via the Wiener path integral technique, Nonlinear Dynamics, 2022,107,3669-3682.</w:t>
      </w:r>
    </w:p>
    <w:p w14:paraId="5F44BE5F">
      <w:pPr>
        <w:keepNext w:val="0"/>
        <w:keepLines w:val="0"/>
        <w:widowControl/>
        <w:numPr>
          <w:ilvl w:val="0"/>
          <w:numId w:val="1"/>
        </w:numPr>
        <w:suppressLineNumbers w:val="0"/>
        <w:spacing w:before="0" w:beforeAutospacing="1" w:after="0" w:afterAutospacing="1"/>
        <w:ind w:left="0" w:hanging="360"/>
      </w:pPr>
    </w:p>
    <w:p w14:paraId="0D0125C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3F348F0"/>
    <w:multiLevelType w:val="multilevel"/>
    <w:tmpl w:val="53F348F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E163CBA"/>
    <w:rsid w:val="7E163C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2025-07-23T16:58:00Z</dcterms:created>
  <dc:creator>訸諭</dc:creator>
  <cp:lastModifiedBy>訸諭</cp:lastModifiedBy>
  <dcterms:modified xsi:type="dcterms:W3CDTF">2025-07-23T16:58:32Z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269E08727C834BB9AB8EC182AE66C715_11</vt:lpwstr>
  </property>
  <property fmtid="{D5CDD505-2E9C-101B-9397-08002B2CF9AE}" pid="4" name="KSOTemplateDocerSaveRecord">
    <vt:lpwstr>eyJoZGlkIjoiMmM0ZDZlNTBmNzhmNzgzYzRiODYyNWYyYjY0ZDM0NDUiLCJ1c2VySWQiOiIxMjYyOTI4MTk3In0=</vt:lpwstr>
  </property>
</Properties>
</file>