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F0FB73">
      <w:pPr>
        <w:jc w:val="center"/>
        <w:rPr>
          <w:rFonts w:hint="eastAsia"/>
          <w:b/>
          <w:bCs/>
        </w:rPr>
      </w:pPr>
      <w:bookmarkStart w:id="0" w:name="_GoBack"/>
      <w:r>
        <w:rPr>
          <w:rFonts w:hint="eastAsia"/>
          <w:b/>
          <w:bCs/>
        </w:rPr>
        <w:t>安全应急学院2019-2023获批国家社科基金名单</w:t>
      </w:r>
    </w:p>
    <w:bookmarkEnd w:id="0"/>
    <w:p w14:paraId="04C65271">
      <w:pPr>
        <w:jc w:val="center"/>
        <w:rPr>
          <w:rFonts w:hint="eastAsia"/>
        </w:rPr>
      </w:pPr>
      <w:r>
        <w:rPr>
          <w:rFonts w:hint="eastAsia"/>
        </w:rPr>
        <w:t>时间：2023-09-07</w:t>
      </w:r>
    </w:p>
    <w:p w14:paraId="6B57CD6E">
      <w:pPr>
        <w:rPr>
          <w:rFonts w:hint="eastAsia"/>
        </w:rPr>
      </w:pPr>
      <w:r>
        <w:rPr>
          <w:rFonts w:hint="eastAsia"/>
        </w:rPr>
        <w:t>安全应急学院2019-2023期间，共获批立项国家社科基金5项，总经费约200万元。</w:t>
      </w:r>
    </w:p>
    <w:p w14:paraId="493B91FC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57090" cy="1938655"/>
            <wp:effectExtent l="0" t="0" r="6350" b="1206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7090" cy="1938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610CDA"/>
    <w:rsid w:val="0E610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2025-07-23T14:35:00Z</dcterms:created>
  <dc:creator>訸諭</dc:creator>
  <cp:lastModifiedBy>訸諭</cp:lastModifiedBy>
  <dcterms:modified xsi:type="dcterms:W3CDTF">2025-07-23T14:36:37Z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E72179FACC804123BF31A3A8F5335518_11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