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B4411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2023年我院喜获国家基金10项</w:t>
      </w:r>
    </w:p>
    <w:p w14:paraId="78621FEC">
      <w:pPr>
        <w:jc w:val="center"/>
        <w:rPr>
          <w:rFonts w:hint="eastAsia"/>
        </w:rPr>
      </w:pPr>
      <w:r>
        <w:rPr>
          <w:rFonts w:hint="eastAsia"/>
        </w:rPr>
        <w:t>时间：2023-09-07</w:t>
      </w:r>
    </w:p>
    <w:p w14:paraId="7E2D2EDF">
      <w:pPr>
        <w:rPr>
          <w:rFonts w:hint="eastAsia"/>
        </w:rPr>
      </w:pPr>
      <w:r>
        <w:rPr>
          <w:rFonts w:hint="eastAsia"/>
        </w:rPr>
        <w:t> </w:t>
      </w:r>
    </w:p>
    <w:p w14:paraId="00584EE1">
      <w:pPr>
        <w:ind w:firstLine="420" w:firstLineChars="200"/>
        <w:rPr>
          <w:rFonts w:hint="eastAsia"/>
        </w:rPr>
      </w:pPr>
      <w:r>
        <w:rPr>
          <w:rFonts w:hint="eastAsia"/>
        </w:rPr>
        <w:t>2023年安全科学与应急管理学院申请国家基金项目23项（自科21项，社科2项），获批立项10项。全校23个单位，获批立项率43%，为全校第1。</w:t>
      </w:r>
    </w:p>
    <w:p w14:paraId="57141105">
      <w:pPr>
        <w:ind w:firstLine="480" w:firstLineChars="200"/>
        <w:rPr>
          <w:rFonts w:hint="eastAsia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43550" cy="3787775"/>
            <wp:effectExtent l="0" t="0" r="3810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78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DA6755"/>
    <w:rsid w:val="05DA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2025-07-23T14:34:00Z</dcterms:created>
  <dc:creator>訸諭</dc:creator>
  <cp:lastModifiedBy>訸諭</cp:lastModifiedBy>
  <dcterms:modified xsi:type="dcterms:W3CDTF">2025-07-23T14:34:43Z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04DED13326694773B7C8C4A76C26407D_11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