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DB296">
      <w:pPr>
        <w:ind w:firstLine="843" w:firstLineChars="3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安全应急大讲堂第四期：上海交通大学张博研究员讲座</w:t>
      </w:r>
    </w:p>
    <w:p w14:paraId="6C7253F4">
      <w:pPr>
        <w:ind w:firstLine="3150" w:firstLineChars="1500"/>
        <w:rPr>
          <w:rFonts w:hint="eastAsia"/>
        </w:rPr>
      </w:pPr>
      <w:r>
        <w:rPr>
          <w:rFonts w:hint="eastAsia"/>
        </w:rPr>
        <w:t>时间：2023-05-15</w:t>
      </w:r>
    </w:p>
    <w:p w14:paraId="6E843DCB">
      <w:pPr>
        <w:rPr>
          <w:rFonts w:hint="eastAsia"/>
        </w:rPr>
      </w:pPr>
      <w:r>
        <w:rPr>
          <w:rFonts w:hint="eastAsia"/>
        </w:rPr>
        <w:t> </w:t>
      </w:r>
    </w:p>
    <w:p w14:paraId="44D5A3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报告名称：可燃气体爆轰/爆炸起爆及传播机制若干研究进展</w:t>
      </w:r>
    </w:p>
    <w:p w14:paraId="70063EA0">
      <w:pPr>
        <w:rPr>
          <w:rFonts w:hint="eastAsia"/>
          <w:sz w:val="24"/>
          <w:szCs w:val="24"/>
        </w:rPr>
      </w:pPr>
    </w:p>
    <w:p w14:paraId="7D5135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报告专家: 张博 研究员 博士生导师</w:t>
      </w:r>
    </w:p>
    <w:p w14:paraId="6BAEE40A">
      <w:pPr>
        <w:rPr>
          <w:rFonts w:hint="eastAsia"/>
          <w:sz w:val="24"/>
          <w:szCs w:val="24"/>
        </w:rPr>
      </w:pPr>
    </w:p>
    <w:p w14:paraId="088090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专家简介：</w:t>
      </w:r>
    </w:p>
    <w:p w14:paraId="32754DC0">
      <w:pPr>
        <w:rPr>
          <w:rFonts w:hint="eastAsia"/>
          <w:sz w:val="24"/>
          <w:szCs w:val="24"/>
        </w:rPr>
      </w:pPr>
    </w:p>
    <w:p w14:paraId="7D7F66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 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>张博，上海交通大学航空航天学院研究员、博导。主要研究方向为高超声速爆轰推进极限燃烧机理及可控技术，2020-2022连续3年入选爱思唯尔 “中国高被引学者” 榜单（航空宇航科学与技术）。研究成果在Combust Flame、Proc Combust Inst、Fuel、Energy等期刊发表。获得上海市自然科学二等奖（第一完成人，2022）、国际爆炸动力学与反应系统学会授予的John H.S. Lee 青年学者奖（2015）。担任航空学报、Chinese Journal of Aeronautics 青年编委和爆炸力学爆轰专业组委员。</w:t>
      </w:r>
    </w:p>
    <w:p w14:paraId="33BD9BF5">
      <w:pPr>
        <w:rPr>
          <w:rFonts w:hint="eastAsia"/>
          <w:sz w:val="24"/>
          <w:szCs w:val="24"/>
        </w:rPr>
      </w:pPr>
    </w:p>
    <w:p w14:paraId="1E0391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报告时间：2023年5月18日（周四）上午10:00</w:t>
      </w:r>
    </w:p>
    <w:p w14:paraId="568F4962">
      <w:pPr>
        <w:rPr>
          <w:rFonts w:hint="eastAsia"/>
          <w:sz w:val="24"/>
          <w:szCs w:val="24"/>
        </w:rPr>
      </w:pPr>
    </w:p>
    <w:p w14:paraId="093ACD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报告方式：腾讯会议（ID：792-774-010）</w:t>
      </w:r>
    </w:p>
    <w:p w14:paraId="1934D5A5">
      <w:pPr>
        <w:rPr>
          <w:rFonts w:hint="eastAsia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00400" cy="4525010"/>
            <wp:effectExtent l="0" t="0" r="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525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A01140"/>
    <w:rsid w:val="20A01140"/>
    <w:rsid w:val="610F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2025-07-23T13:21:00Z</dcterms:created>
  <dc:creator>訸諭</dc:creator>
  <cp:lastModifiedBy>訸諭</cp:lastModifiedBy>
  <dcterms:modified xsi:type="dcterms:W3CDTF">2025-07-23T13:24:38Z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8E132036B0A54908AB3626EDA4C38428_11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