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C50547">
      <w:pPr>
        <w:jc w:val="center"/>
        <w:rPr>
          <w:rFonts w:hint="eastAsia"/>
          <w:b/>
          <w:bCs/>
        </w:rPr>
      </w:pPr>
      <w:bookmarkStart w:id="0" w:name="_GoBack"/>
      <w:r>
        <w:rPr>
          <w:rFonts w:hint="eastAsia"/>
          <w:b/>
          <w:bCs/>
        </w:rPr>
        <w:t>【筑梦起航】学院开展2024级本科新生系列入学教育活动</w:t>
      </w:r>
    </w:p>
    <w:bookmarkEnd w:id="0"/>
    <w:p w14:paraId="619A871C">
      <w:pPr>
        <w:jc w:val="center"/>
        <w:rPr>
          <w:rFonts w:hint="eastAsia"/>
        </w:rPr>
      </w:pPr>
      <w:r>
        <w:rPr>
          <w:rFonts w:hint="eastAsia"/>
        </w:rPr>
        <w:t>时间：2024-09-30</w:t>
      </w:r>
    </w:p>
    <w:p w14:paraId="350E7CB2">
      <w:pPr>
        <w:rPr>
          <w:rFonts w:hint="eastAsia"/>
        </w:rPr>
      </w:pPr>
      <w:r>
        <w:rPr>
          <w:rFonts w:hint="eastAsia"/>
        </w:rPr>
        <w:t>    为切实帮助2024级本科生尽快适应大学生活，熟悉校园环境，明确学习目标，树立远大理想，9月7日至9月29日，学院紧紧围绕身心健康发展、职业生涯规划、资助帮扶政策、学校办学历史、图书资源使用、学生活动风采、安全法治教育、主题班会等内容开展了一系列入学教育活动。</w:t>
      </w:r>
    </w:p>
    <w:p w14:paraId="54F52FE2">
      <w:pPr>
        <w:rPr>
          <w:rFonts w:hint="eastAsia"/>
        </w:rPr>
      </w:pPr>
      <w:r>
        <w:rPr>
          <w:rFonts w:ascii="宋体" w:hAnsi="宋体" w:eastAsia="宋体" w:cs="宋体"/>
          <w:sz w:val="24"/>
          <w:szCs w:val="24"/>
        </w:rPr>
        <w:drawing>
          <wp:inline distT="0" distB="0" distL="114300" distR="114300">
            <wp:extent cx="3771900" cy="2838450"/>
            <wp:effectExtent l="0" t="0" r="7620" b="1143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3771900" cy="2838450"/>
                    </a:xfrm>
                    <a:prstGeom prst="rect">
                      <a:avLst/>
                    </a:prstGeom>
                    <a:noFill/>
                    <a:ln w="9525">
                      <a:noFill/>
                    </a:ln>
                  </pic:spPr>
                </pic:pic>
              </a:graphicData>
            </a:graphic>
          </wp:inline>
        </w:drawing>
      </w:r>
    </w:p>
    <w:p w14:paraId="19FEE55D">
      <w:pPr>
        <w:rPr>
          <w:rFonts w:hint="eastAsia"/>
        </w:rPr>
      </w:pPr>
      <w:r>
        <w:rPr>
          <w:rFonts w:hint="eastAsia"/>
        </w:rPr>
        <w:t>    学校心理健康中心孙灯勇老师以丰富的实践经验和深入的理论研究为基础，系统分析了大学新生在适应新环境过程中可能面临的心理挑战，包括学业压力、人际关系及自我管理等方面。他表示大学生活的转变是人生中的一个重要阶段，同学们应当积极调整心态，通过科学的方法应对各种心理挑战，以实现更好的自我适应和全面发展。</w:t>
      </w:r>
    </w:p>
    <w:p w14:paraId="7348F8EB">
      <w:pPr>
        <w:rPr>
          <w:rFonts w:hint="eastAsia"/>
        </w:rPr>
      </w:pPr>
      <w:r>
        <w:rPr>
          <w:rFonts w:ascii="宋体" w:hAnsi="宋体" w:eastAsia="宋体" w:cs="宋体"/>
          <w:sz w:val="24"/>
          <w:szCs w:val="24"/>
        </w:rPr>
        <w:drawing>
          <wp:inline distT="0" distB="0" distL="114300" distR="114300">
            <wp:extent cx="5270500" cy="3950335"/>
            <wp:effectExtent l="0" t="0" r="2540" b="1206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5270500" cy="3950335"/>
                    </a:xfrm>
                    <a:prstGeom prst="rect">
                      <a:avLst/>
                    </a:prstGeom>
                    <a:noFill/>
                    <a:ln w="9525">
                      <a:noFill/>
                    </a:ln>
                  </pic:spPr>
                </pic:pic>
              </a:graphicData>
            </a:graphic>
          </wp:inline>
        </w:drawing>
      </w:r>
    </w:p>
    <w:p w14:paraId="04D5FFF6">
      <w:pPr>
        <w:rPr>
          <w:rFonts w:hint="eastAsia"/>
        </w:rPr>
      </w:pPr>
      <w:r>
        <w:rPr>
          <w:rFonts w:hint="eastAsia"/>
        </w:rPr>
        <w:t>    校医院王永红院长首先向同学们讲述了校医院的整体概况、学校医疗保障条件以及各个校区医院的健康导师。随后普及了校园常见传染病健康知识，通过对四种典型的校园传染病的感染以及发展进程的介绍和预防措施的讲解，让同学们更加深刻地认识到传染病的危害。最后呼吁同学们要珍爱生命和注重健康，保护好个人的人身安全。</w:t>
      </w:r>
    </w:p>
    <w:p w14:paraId="3DB140B8">
      <w:pPr>
        <w:rPr>
          <w:rFonts w:hint="eastAsia"/>
        </w:rPr>
      </w:pPr>
      <w:r>
        <w:rPr>
          <w:rFonts w:ascii="宋体" w:hAnsi="宋体" w:eastAsia="宋体" w:cs="宋体"/>
          <w:sz w:val="24"/>
          <w:szCs w:val="24"/>
        </w:rPr>
        <w:drawing>
          <wp:inline distT="0" distB="0" distL="114300" distR="114300">
            <wp:extent cx="3990975" cy="3000375"/>
            <wp:effectExtent l="0" t="0" r="1905" b="190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6"/>
                    <a:stretch>
                      <a:fillRect/>
                    </a:stretch>
                  </pic:blipFill>
                  <pic:spPr>
                    <a:xfrm>
                      <a:off x="0" y="0"/>
                      <a:ext cx="3990975" cy="3000375"/>
                    </a:xfrm>
                    <a:prstGeom prst="rect">
                      <a:avLst/>
                    </a:prstGeom>
                    <a:noFill/>
                    <a:ln w="9525">
                      <a:noFill/>
                    </a:ln>
                  </pic:spPr>
                </pic:pic>
              </a:graphicData>
            </a:graphic>
          </wp:inline>
        </w:drawing>
      </w:r>
    </w:p>
    <w:p w14:paraId="0B289AD0">
      <w:pPr>
        <w:rPr>
          <w:rFonts w:hint="eastAsia"/>
        </w:rPr>
      </w:pPr>
      <w:r>
        <w:rPr>
          <w:rFonts w:hint="eastAsia"/>
        </w:rPr>
        <w:t>    安全科学与工程系袁必和老师建议同学们充分了解和熟悉学校关于职业生涯规划和就业创业等方面的一系列政策和制度，提出了“脚踏实地，行稳致远”的原则，详细阐述了职业生涯的“三定”策略——定方向、定点、定位。他提醒同学们在大一阶段要做好职业探索和选择，大二阶段要有针对性地提升专业能力，大三和大四阶段要积极准备个人简历、面试技巧和实习实践等，并建议同学们主动参与各类实习实践活动，提升自身综合素质。</w:t>
      </w:r>
    </w:p>
    <w:p w14:paraId="5511D8D4">
      <w:pPr>
        <w:rPr>
          <w:rFonts w:hint="eastAsia"/>
        </w:rPr>
      </w:pPr>
      <w:r>
        <w:rPr>
          <w:rFonts w:ascii="宋体" w:hAnsi="宋体" w:eastAsia="宋体" w:cs="宋体"/>
          <w:sz w:val="24"/>
          <w:szCs w:val="24"/>
        </w:rPr>
        <w:drawing>
          <wp:inline distT="0" distB="0" distL="114300" distR="114300">
            <wp:extent cx="5272405" cy="3602355"/>
            <wp:effectExtent l="0" t="0" r="635" b="952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7"/>
                    <a:stretch>
                      <a:fillRect/>
                    </a:stretch>
                  </pic:blipFill>
                  <pic:spPr>
                    <a:xfrm>
                      <a:off x="0" y="0"/>
                      <a:ext cx="5272405" cy="3602355"/>
                    </a:xfrm>
                    <a:prstGeom prst="rect">
                      <a:avLst/>
                    </a:prstGeom>
                    <a:noFill/>
                    <a:ln w="9525">
                      <a:noFill/>
                    </a:ln>
                  </pic:spPr>
                </pic:pic>
              </a:graphicData>
            </a:graphic>
          </wp:inline>
        </w:drawing>
      </w:r>
    </w:p>
    <w:p w14:paraId="127AD903">
      <w:pPr>
        <w:rPr>
          <w:rFonts w:hint="eastAsia"/>
        </w:rPr>
      </w:pPr>
      <w:r>
        <w:rPr>
          <w:rFonts w:hint="eastAsia"/>
        </w:rPr>
        <w:t>    学生工作办公室杜奥迪老师首先详细解读了学校的各项资助政策，包括国家助学金、奖学金、助学贷款以及勤工俭学等内容。此外，杜奥迪老师还强调了家庭经济困难认定的流程，包括本人提交申请、班级评议、学院审核等多个环节。同时详细介绍了国家助学贷款的政策和申请流程，提醒同学们珍惜国家提供的无息贷款机会，合理规划自己的学习和生活。</w:t>
      </w:r>
    </w:p>
    <w:p w14:paraId="4A737415">
      <w:pPr>
        <w:rPr>
          <w:rFonts w:hint="eastAsia"/>
        </w:rPr>
      </w:pPr>
      <w:r>
        <w:rPr>
          <w:rFonts w:ascii="宋体" w:hAnsi="宋体" w:eastAsia="宋体" w:cs="宋体"/>
          <w:sz w:val="24"/>
          <w:szCs w:val="24"/>
        </w:rPr>
        <w:drawing>
          <wp:inline distT="0" distB="0" distL="114300" distR="114300">
            <wp:extent cx="5264785" cy="3735705"/>
            <wp:effectExtent l="0" t="0" r="8255" b="13335"/>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8"/>
                    <a:stretch>
                      <a:fillRect/>
                    </a:stretch>
                  </pic:blipFill>
                  <pic:spPr>
                    <a:xfrm>
                      <a:off x="0" y="0"/>
                      <a:ext cx="5264785" cy="3735705"/>
                    </a:xfrm>
                    <a:prstGeom prst="rect">
                      <a:avLst/>
                    </a:prstGeom>
                    <a:noFill/>
                    <a:ln w="9525">
                      <a:noFill/>
                    </a:ln>
                  </pic:spPr>
                </pic:pic>
              </a:graphicData>
            </a:graphic>
          </wp:inline>
        </w:drawing>
      </w:r>
    </w:p>
    <w:p w14:paraId="41562CD1">
      <w:pPr>
        <w:rPr>
          <w:rFonts w:hint="eastAsia"/>
        </w:rPr>
      </w:pPr>
      <w:r>
        <w:rPr>
          <w:rFonts w:hint="eastAsia"/>
        </w:rPr>
        <w:t>    图书馆老师为同学们详细介绍了图书馆的各项资源与服务，重点讲解了图书借阅流程、电子资源访问方式以及数字媒体平台的使用，并鼓励同学们积极参与图书馆举办的各类信息素养教育和阅读推广活动。</w:t>
      </w:r>
    </w:p>
    <w:p w14:paraId="670B5833">
      <w:pPr>
        <w:rPr>
          <w:rFonts w:hint="eastAsia"/>
        </w:rPr>
      </w:pPr>
      <w:r>
        <w:rPr>
          <w:rFonts w:ascii="宋体" w:hAnsi="宋体" w:eastAsia="宋体" w:cs="宋体"/>
          <w:sz w:val="24"/>
          <w:szCs w:val="24"/>
        </w:rPr>
        <w:drawing>
          <wp:inline distT="0" distB="0" distL="114300" distR="114300">
            <wp:extent cx="5264150" cy="3949065"/>
            <wp:effectExtent l="0" t="0" r="8890" b="1333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9"/>
                    <a:stretch>
                      <a:fillRect/>
                    </a:stretch>
                  </pic:blipFill>
                  <pic:spPr>
                    <a:xfrm>
                      <a:off x="0" y="0"/>
                      <a:ext cx="5264150" cy="3949065"/>
                    </a:xfrm>
                    <a:prstGeom prst="rect">
                      <a:avLst/>
                    </a:prstGeom>
                    <a:noFill/>
                    <a:ln w="9525">
                      <a:noFill/>
                    </a:ln>
                  </pic:spPr>
                </pic:pic>
              </a:graphicData>
            </a:graphic>
          </wp:inline>
        </w:drawing>
      </w:r>
    </w:p>
    <w:p w14:paraId="6672C7DE">
      <w:pPr>
        <w:rPr>
          <w:rFonts w:hint="eastAsia"/>
        </w:rPr>
      </w:pPr>
      <w:r>
        <w:rPr>
          <w:rFonts w:hint="eastAsia"/>
        </w:rPr>
        <w:t>    校史馆老师系统介绍了学校合并组建的历史背景，同学们通过校史展区了解了学校的历史沿革，参观了诸多珍贵的历史实物和照片，深切感受到了学校在科研、教学和社会服务等方面取得的卓越成就。同学们纷纷表示深刻体会到学校历经百年风雨始终坚持创新、拼搏进取的高贵精神，更加坚定了努力学习、为校争光的信念。</w:t>
      </w:r>
    </w:p>
    <w:p w14:paraId="5150C495">
      <w:pPr>
        <w:rPr>
          <w:rFonts w:hint="eastAsia"/>
        </w:rPr>
      </w:pPr>
    </w:p>
    <w:p w14:paraId="72415489">
      <w:pPr>
        <w:rPr>
          <w:rFonts w:ascii="宋体" w:hAnsi="宋体" w:eastAsia="宋体" w:cs="宋体"/>
          <w:sz w:val="24"/>
          <w:szCs w:val="24"/>
        </w:rPr>
      </w:pPr>
      <w:r>
        <w:rPr>
          <w:rFonts w:ascii="宋体" w:hAnsi="宋体" w:eastAsia="宋体" w:cs="宋体"/>
          <w:sz w:val="24"/>
          <w:szCs w:val="24"/>
        </w:rPr>
        <w:drawing>
          <wp:inline distT="0" distB="0" distL="114300" distR="114300">
            <wp:extent cx="5273675" cy="3955415"/>
            <wp:effectExtent l="0" t="0" r="14605" b="6985"/>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10"/>
                    <a:stretch>
                      <a:fillRect/>
                    </a:stretch>
                  </pic:blipFill>
                  <pic:spPr>
                    <a:xfrm>
                      <a:off x="0" y="0"/>
                      <a:ext cx="5273675" cy="3955415"/>
                    </a:xfrm>
                    <a:prstGeom prst="rect">
                      <a:avLst/>
                    </a:prstGeom>
                    <a:noFill/>
                    <a:ln w="9525">
                      <a:noFill/>
                    </a:ln>
                  </pic:spPr>
                </pic:pic>
              </a:graphicData>
            </a:graphic>
          </wp:inline>
        </w:drawing>
      </w:r>
    </w:p>
    <w:p w14:paraId="62F05606">
      <w:pPr>
        <w:rPr>
          <w:rFonts w:ascii="宋体" w:hAnsi="宋体" w:eastAsia="宋体" w:cs="宋体"/>
          <w:sz w:val="24"/>
          <w:szCs w:val="24"/>
        </w:rPr>
      </w:pPr>
      <w:r>
        <w:rPr>
          <w:rFonts w:ascii="宋体" w:hAnsi="宋体" w:eastAsia="宋体" w:cs="宋体"/>
          <w:sz w:val="24"/>
          <w:szCs w:val="24"/>
        </w:rPr>
        <w:drawing>
          <wp:inline distT="0" distB="0" distL="114300" distR="114300">
            <wp:extent cx="5270500" cy="3950970"/>
            <wp:effectExtent l="0" t="0" r="2540" b="11430"/>
            <wp:docPr id="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6"/>
                    <pic:cNvPicPr>
                      <a:picLocks noChangeAspect="1"/>
                    </pic:cNvPicPr>
                  </pic:nvPicPr>
                  <pic:blipFill>
                    <a:blip r:embed="rId11"/>
                    <a:stretch>
                      <a:fillRect/>
                    </a:stretch>
                  </pic:blipFill>
                  <pic:spPr>
                    <a:xfrm>
                      <a:off x="0" y="0"/>
                      <a:ext cx="5270500" cy="3950970"/>
                    </a:xfrm>
                    <a:prstGeom prst="rect">
                      <a:avLst/>
                    </a:prstGeom>
                    <a:noFill/>
                    <a:ln w="9525">
                      <a:noFill/>
                    </a:ln>
                  </pic:spPr>
                </pic:pic>
              </a:graphicData>
            </a:graphic>
          </wp:inline>
        </w:drawing>
      </w:r>
    </w:p>
    <w:p w14:paraId="2ACA3278">
      <w:pPr>
        <w:rPr>
          <w:rFonts w:ascii="宋体" w:hAnsi="宋体" w:eastAsia="宋体" w:cs="宋体"/>
          <w:sz w:val="24"/>
          <w:szCs w:val="24"/>
        </w:rPr>
      </w:pPr>
      <w:r>
        <w:rPr>
          <w:rFonts w:ascii="宋体" w:hAnsi="宋体" w:eastAsia="宋体" w:cs="宋体"/>
          <w:sz w:val="24"/>
          <w:szCs w:val="24"/>
        </w:rPr>
        <w:drawing>
          <wp:inline distT="0" distB="0" distL="114300" distR="114300">
            <wp:extent cx="4505325" cy="3381375"/>
            <wp:effectExtent l="0" t="0" r="5715" b="1905"/>
            <wp:docPr id="9"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56"/>
                    <pic:cNvPicPr>
                      <a:picLocks noChangeAspect="1"/>
                    </pic:cNvPicPr>
                  </pic:nvPicPr>
                  <pic:blipFill>
                    <a:blip r:embed="rId12"/>
                    <a:stretch>
                      <a:fillRect/>
                    </a:stretch>
                  </pic:blipFill>
                  <pic:spPr>
                    <a:xfrm>
                      <a:off x="0" y="0"/>
                      <a:ext cx="4505325" cy="3381375"/>
                    </a:xfrm>
                    <a:prstGeom prst="rect">
                      <a:avLst/>
                    </a:prstGeom>
                    <a:noFill/>
                    <a:ln w="9525">
                      <a:noFill/>
                    </a:ln>
                  </pic:spPr>
                </pic:pic>
              </a:graphicData>
            </a:graphic>
          </wp:inline>
        </w:drawing>
      </w:r>
    </w:p>
    <w:p w14:paraId="32E08B4B">
      <w:pPr>
        <w:rPr>
          <w:rFonts w:hint="eastAsia" w:ascii="宋体" w:hAnsi="宋体" w:eastAsia="宋体" w:cs="宋体"/>
          <w:sz w:val="24"/>
          <w:szCs w:val="24"/>
        </w:rPr>
      </w:pPr>
      <w:r>
        <w:rPr>
          <w:rFonts w:ascii="宋体" w:hAnsi="宋体" w:eastAsia="宋体" w:cs="宋体"/>
          <w:sz w:val="24"/>
          <w:szCs w:val="24"/>
        </w:rPr>
        <w:drawing>
          <wp:inline distT="0" distB="0" distL="114300" distR="114300">
            <wp:extent cx="4314825" cy="3238500"/>
            <wp:effectExtent l="0" t="0" r="13335" b="7620"/>
            <wp:docPr id="1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56"/>
                    <pic:cNvPicPr>
                      <a:picLocks noChangeAspect="1"/>
                    </pic:cNvPicPr>
                  </pic:nvPicPr>
                  <pic:blipFill>
                    <a:blip r:embed="rId13"/>
                    <a:stretch>
                      <a:fillRect/>
                    </a:stretch>
                  </pic:blipFill>
                  <pic:spPr>
                    <a:xfrm>
                      <a:off x="0" y="0"/>
                      <a:ext cx="4314825" cy="3238500"/>
                    </a:xfrm>
                    <a:prstGeom prst="rect">
                      <a:avLst/>
                    </a:prstGeom>
                    <a:noFill/>
                    <a:ln w="9525">
                      <a:noFill/>
                    </a:ln>
                  </pic:spPr>
                </pic:pic>
              </a:graphicData>
            </a:graphic>
          </wp:inline>
        </w:drawing>
      </w:r>
    </w:p>
    <w:p w14:paraId="109F2868">
      <w:pPr>
        <w:rPr>
          <w:rFonts w:hint="eastAsia"/>
        </w:rPr>
      </w:pPr>
      <w:r>
        <w:rPr>
          <w:rFonts w:hint="eastAsia"/>
        </w:rPr>
        <w:t>    此外，学院各学生组织纷纷进行了特色学生活动展示，2024级本科生各班级也开展了班委选拔、破冰行动等系列主题班会活动。     </w:t>
      </w:r>
    </w:p>
    <w:p w14:paraId="3B975ED3">
      <w:pPr>
        <w:rPr>
          <w:rFonts w:hint="eastAsia"/>
        </w:rPr>
      </w:pPr>
      <w:r>
        <w:rPr>
          <w:rFonts w:hint="eastAsia"/>
        </w:rPr>
        <w:t>    通过开展一系列的入学教育活动，2024级同学们表示收获良多、受益匪浅。相信在未来的大学生活与学习中，全体2024级本科生会以更加饱满的热情和坚定的信念，在武汉理工大学这片沃土上茁壮成长，努力实现自己的人生理想。</w:t>
      </w:r>
    </w:p>
    <w:p w14:paraId="2A46815F">
      <w:r>
        <w:rPr>
          <w:rFonts w:hint="eastAsia"/>
        </w:rPr>
        <w:t>                                                                                         （通讯员：赖子奇、沈智林、徐震、朱申瑀、王琪、刘欣悦 责编：周聪聪 审核：廖明静）</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EA7369"/>
    <w:rsid w:val="09EA73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2025-07-23T15:06:00Z</dcterms:created>
  <dc:creator>訸諭</dc:creator>
  <cp:lastModifiedBy>訸諭</cp:lastModifiedBy>
  <dcterms:modified xsi:type="dcterms:W3CDTF">2025-07-23T15:11:25Z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6548642F6A744B4783D5913E7DFB60FD_11</vt:lpwstr>
  </property>
  <property fmtid="{D5CDD505-2E9C-101B-9397-08002B2CF9AE}" pid="4" name="KSOTemplateDocerSaveRecord">
    <vt:lpwstr>eyJoZGlkIjoiMmM0ZDZlNTBmNzhmNzgzYzRiODYyNWYyYjY0ZDM0NDUiLCJ1c2VySWQiOiIxMjYyOTI4MTk3In0=</vt:lpwstr>
  </property>
</Properties>
</file>