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6DB8" w14:textId="77777777" w:rsidR="00473A69" w:rsidRPr="0021409D" w:rsidRDefault="00473A69" w:rsidP="00473A69">
      <w:pPr>
        <w:widowControl/>
        <w:shd w:val="clear" w:color="auto" w:fill="FFFFFF"/>
        <w:jc w:val="center"/>
        <w:rPr>
          <w:rFonts w:ascii="微软雅黑" w:eastAsia="微软雅黑" w:hAnsi="微软雅黑" w:cs="宋体" w:hint="eastAsia"/>
          <w:color w:val="333333"/>
          <w:spacing w:val="15"/>
          <w:kern w:val="0"/>
          <w:sz w:val="24"/>
          <w:szCs w:val="24"/>
        </w:rPr>
      </w:pPr>
      <w:r w:rsidRPr="0021409D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2024年工作计划</w:t>
      </w:r>
      <w:r w:rsidRPr="0021409D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时间：2024-06-11</w:t>
      </w:r>
    </w:p>
    <w:p w14:paraId="4B5629B9" w14:textId="77777777" w:rsidR="00473A69" w:rsidRPr="0021409D" w:rsidRDefault="00473A69" w:rsidP="00473A69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460" w:lineRule="atLeast"/>
        <w:ind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一、指导思想</w:t>
      </w:r>
    </w:p>
    <w:p w14:paraId="438B7E0A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围绕贯彻落实党的二十大精神和学校第四次党代会决策部署，聚焦确保服务国家战略和支撑行业发展新高地建设起势见效，对全年工作进行系统部署。</w:t>
      </w:r>
    </w:p>
    <w:p w14:paraId="596F2BAF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二、主要工作思路</w:t>
      </w:r>
    </w:p>
    <w:p w14:paraId="18EBC18D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坚持“特色、交叉、应用”的发展思路，贯彻落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实习近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平新时代中国特色社会主义思想，坚持立德树人，大力推进“双一流”建设，坚持弘扬“厚德博学、追求卓越”的大学精神，“明德励学，修己安人”的学院航标，以信息化建设引领和推动学院新时代高质量发展和超越，全面做好2024年各项工作。</w:t>
      </w:r>
    </w:p>
    <w:p w14:paraId="276D040F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三、工作计划</w:t>
      </w:r>
    </w:p>
    <w:p w14:paraId="1C417204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（一）党建和思想政治工作</w:t>
      </w:r>
    </w:p>
    <w:p w14:paraId="15BFD0A2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1、坚持把党的政治建设放在首位，全面学习宣传贯彻党的二十大精神，不断完善工作机制，切实发挥党委和基层党组织的政治核心作用，落实立德树人根本任务，助推学院高质量发展。</w:t>
      </w:r>
    </w:p>
    <w:p w14:paraId="7AB38DC5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lastRenderedPageBreak/>
        <w:t>2、坚持学校、学院、基层教学组织、教师“四维并进”推动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课程思政建设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。持续深入抓典型、树标杆、推经验，力争形成规模、形成范式、形成体系，使全体教师“人人能思政”、“处处讲思政”，开展“教授红讲堂”活动，构建优秀的教风和学风。</w:t>
      </w:r>
    </w:p>
    <w:p w14:paraId="5552C43D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3、以争创“一流党建”为目标，以“双创”建设为抓手，积极推动“一院</w:t>
      </w:r>
      <w:proofErr w:type="gramStart"/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一</w:t>
      </w:r>
      <w:proofErr w:type="gramEnd"/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品牌、</w:t>
      </w:r>
      <w:proofErr w:type="gramStart"/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一</w:t>
      </w:r>
      <w:proofErr w:type="gramEnd"/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支部</w:t>
      </w:r>
      <w:proofErr w:type="gramStart"/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一</w:t>
      </w:r>
      <w:proofErr w:type="gramEnd"/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特色”党建创优工作，将党建与教学科研、人才培养、实践育人、服务社会等工作深度融合，形成 “党建+文化传承”特色鲜明的党建工作品牌。</w:t>
      </w:r>
    </w:p>
    <w:p w14:paraId="633F33CC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（二）行政管理与安全工作</w:t>
      </w:r>
    </w:p>
    <w:p w14:paraId="0AB2F892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1、在“学科牵引、人才支撑、平台保障、行业协同”四个方面久久为功，围绕党建思政、学科建设、教育教学、科学研究、学生工作、行政管理、人才队伍、社会服务等八个方面持续发力，从而构建支撑学院发展的“四梁八柱”。</w:t>
      </w:r>
      <w:r w:rsidRPr="0021409D">
        <w:rPr>
          <w:rFonts w:ascii="Calibri" w:eastAsia="仿宋" w:hAnsi="Calibri" w:cs="Calibri"/>
          <w:color w:val="666666"/>
          <w:spacing w:val="15"/>
          <w:kern w:val="0"/>
          <w:sz w:val="32"/>
          <w:szCs w:val="32"/>
        </w:rPr>
        <w:t>              </w:t>
      </w:r>
    </w:p>
    <w:p w14:paraId="0EF6BC41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2、适应新形势下学院发展新需求，科学谋划学院十四五发展规划的后半篇文章，出台相应规划。</w:t>
      </w:r>
    </w:p>
    <w:p w14:paraId="2AA0BA78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lastRenderedPageBreak/>
        <w:t>3、优化重塑制度建设流程，进一步明确各领导及下属办公室的工作职责和岗位设置要求，理顺职责分配，提高行政管理效率。</w:t>
      </w:r>
    </w:p>
    <w:p w14:paraId="731E518D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（三）本科教育教学工作</w:t>
      </w:r>
    </w:p>
    <w:p w14:paraId="6D2B84C2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1、根据本科教育教学</w:t>
      </w:r>
      <w:r w:rsidRPr="0021409D">
        <w:rPr>
          <w:rFonts w:ascii="仿宋" w:eastAsia="仿宋" w:hAnsi="仿宋" w:cs="宋体" w:hint="eastAsia"/>
          <w:color w:val="000000"/>
          <w:spacing w:val="15"/>
          <w:kern w:val="0"/>
          <w:sz w:val="32"/>
          <w:szCs w:val="32"/>
        </w:rPr>
        <w:t>审核</w:t>
      </w: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评估中反映的问题，完善制度建设，强化教学质量监控机制。</w:t>
      </w:r>
    </w:p>
    <w:p w14:paraId="3990EE1A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2、完成2024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版人才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培养方案修订。</w:t>
      </w:r>
    </w:p>
    <w:p w14:paraId="080B3D61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3、结合学院实际制定“小学期”“一院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一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策”实施方案。</w:t>
      </w:r>
    </w:p>
    <w:p w14:paraId="323E753A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4、力争获批校级教学团队1-2项，精品课程教学名师1名、青年教学名师1-2名。</w:t>
      </w:r>
    </w:p>
    <w:p w14:paraId="2123F462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5、力争2023年获省级教研项目2项，校级教研项目5项；获批产学合作协同育人项目2-3项。</w:t>
      </w:r>
    </w:p>
    <w:p w14:paraId="7B6323EC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（四）学科建设与研究生培养工作</w:t>
      </w:r>
    </w:p>
    <w:p w14:paraId="25660A26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1、开展《国家安全学》一级学科博士点申报及后续沟通交流工作；分析安全科学与工程第五轮学科评估的短板弱项，提出针对性发展方向和思路。</w:t>
      </w:r>
    </w:p>
    <w:p w14:paraId="56A01F8E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2、配合推进《资源与环境》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专博点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申报工作。</w:t>
      </w:r>
    </w:p>
    <w:p w14:paraId="57E77CED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lastRenderedPageBreak/>
        <w:t>3、拓宽产学研合作，建立高水平研究生联合培养基地和研究生工作站。</w:t>
      </w:r>
    </w:p>
    <w:p w14:paraId="66B070FA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4、严格非全日制研究生招生过程，严格非全日制研究生培养管理。</w:t>
      </w:r>
    </w:p>
    <w:p w14:paraId="19EB21B5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5、深化全日制研究生培养机制改革，推动“本研一体化”工作全面铺开。</w:t>
      </w:r>
    </w:p>
    <w:p w14:paraId="6C78CC08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（五）科学研究工作</w:t>
      </w:r>
    </w:p>
    <w:p w14:paraId="71384058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1、积极动员学院教师申报各类型项目，完成年度到账科研经费1150万元以上；参与省部级及以上奖励申报，力争牵头获得省部级/行业协会一等奖1-2项；牵头完成行业/地方/团体标准1-2项。</w:t>
      </w:r>
    </w:p>
    <w:p w14:paraId="16097079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2、组织或参与申报省部级及以上科研基地建设1项。</w:t>
      </w:r>
    </w:p>
    <w:p w14:paraId="032C9938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3、每月组织1次校内外高水平学术交流活动；策划主办或承办2024年度国际或国内学术会议。</w:t>
      </w:r>
    </w:p>
    <w:p w14:paraId="60FEA2DA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4、有组织的科研组织制度推进，形成3-5个特色鲜明的科研团队；推进成果转化3-5项。</w:t>
      </w:r>
    </w:p>
    <w:p w14:paraId="23BA772A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lastRenderedPageBreak/>
        <w:t>5、落实并推进科研与实验条件保障部科学运行管理制度，提高科研实验条件保障质量。</w:t>
      </w:r>
    </w:p>
    <w:p w14:paraId="437A5B4D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（六）队伍建设工作</w:t>
      </w:r>
    </w:p>
    <w:p w14:paraId="480D7908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新增高层次人才（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含优秀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中青年拔尖人才）1-2人；省部级人才1-2人；全球招聘优秀博士2-3名；新增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进站博后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3-4人；新增教授1人，新增副教授2-3人；完成教师实践能力培养2人；教师国际化能力培养1人。</w:t>
      </w:r>
    </w:p>
    <w:p w14:paraId="47E8FC80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666666"/>
          <w:spacing w:val="15"/>
          <w:kern w:val="0"/>
          <w:sz w:val="32"/>
          <w:szCs w:val="32"/>
        </w:rPr>
        <w:t>（七）学生工作</w:t>
      </w:r>
    </w:p>
    <w:p w14:paraId="502B971C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1、以党建为引领，坚持规范与创新，依托师生党支部结对共建，党校、党支部“三会一课”加强对党员的教育培养考察，重点系统谋划“党员先锋行动”，做好学生党支部建设。</w:t>
      </w:r>
    </w:p>
    <w:p w14:paraId="3350FA7E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2、以科技创新为驱动，加强学院“科技人才池”的建设，积极培育科技创新项目，力争科技创新在“挑战杯”省部级及以上比赛有所突破。</w:t>
      </w:r>
    </w:p>
    <w:p w14:paraId="44A68E23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3、持续聚焦专业特色，围绕“总体国家安全观”，充分挖掘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校内外思政资源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，开展“安全嘉年华”等特色品牌活动。</w:t>
      </w:r>
    </w:p>
    <w:p w14:paraId="44A7B0CD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lastRenderedPageBreak/>
        <w:t>4、充分发挥各专业系力量，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广泛访企拓岗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，开拓社会资源协同育人，开展2024届毕业生就业精准帮扶，营造全员促就业的氛围，推进2024届毕业生高质量就业。</w:t>
      </w:r>
    </w:p>
    <w:p w14:paraId="70368B60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5、持续深化招宣“1+1+1”模式，合理布局招宣力量，提高招宣质量。拍摄学院招生宣传视频，扩大学院、专业知名度和影响力。</w:t>
      </w:r>
    </w:p>
    <w:p w14:paraId="778DD915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3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b/>
          <w:bCs/>
          <w:color w:val="333333"/>
          <w:spacing w:val="15"/>
          <w:kern w:val="0"/>
          <w:sz w:val="32"/>
          <w:szCs w:val="32"/>
        </w:rPr>
        <w:t>四、具体措施：</w:t>
      </w:r>
    </w:p>
    <w:p w14:paraId="17CDFA89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1、突出政治引领，把思想政治工作作为党的建设基础工作、全面从严治党的重要抓手，举办专题研讨、能力提升等各类班次，</w:t>
      </w:r>
      <w:proofErr w:type="gramStart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持续抓好</w:t>
      </w:r>
      <w:proofErr w:type="gramEnd"/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党支部书记能力提升工程、党员进党校集中轮训工程，提升基层党组织履职尽责能力。</w:t>
      </w:r>
    </w:p>
    <w:p w14:paraId="54110FA4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2、加强考核激励等制度建设，按照“四定”方案，实行分级分类多元化考核，鼓励教师个性发展，为学院快速发展创造好的制度环境。</w:t>
      </w:r>
    </w:p>
    <w:p w14:paraId="2D91F76C" w14:textId="77777777" w:rsidR="00473A69" w:rsidRPr="0021409D" w:rsidRDefault="00473A69" w:rsidP="00473A69">
      <w:pPr>
        <w:widowControl/>
        <w:shd w:val="clear" w:color="auto" w:fill="FFFFFF"/>
        <w:spacing w:before="100" w:beforeAutospacing="1" w:after="100" w:afterAutospacing="1" w:line="460" w:lineRule="atLeast"/>
        <w:ind w:left="720" w:firstLine="64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21409D">
        <w:rPr>
          <w:rFonts w:ascii="仿宋" w:eastAsia="仿宋" w:hAnsi="仿宋" w:cs="宋体" w:hint="eastAsia"/>
          <w:color w:val="666666"/>
          <w:spacing w:val="15"/>
          <w:kern w:val="0"/>
          <w:sz w:val="32"/>
          <w:szCs w:val="32"/>
        </w:rPr>
        <w:t>3、按照“高精尖缺”标准，持续优化数字化、信息化学科建设，形成有学院特色的学科专业建设新格局，建成行业内“大安全、大应急”学科专业建设标杆。</w:t>
      </w:r>
    </w:p>
    <w:p w14:paraId="2DD909B6" w14:textId="77777777" w:rsidR="009A4CC5" w:rsidRPr="00473A69" w:rsidRDefault="009A4CC5">
      <w:pPr>
        <w:rPr>
          <w:rFonts w:hint="eastAsia"/>
        </w:rPr>
      </w:pPr>
    </w:p>
    <w:sectPr w:rsidR="009A4CC5" w:rsidRPr="00473A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5B6"/>
    <w:multiLevelType w:val="multilevel"/>
    <w:tmpl w:val="6DE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4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A69"/>
    <w:rsid w:val="00473A69"/>
    <w:rsid w:val="004E7947"/>
    <w:rsid w:val="009A4CC5"/>
    <w:rsid w:val="009F52D8"/>
    <w:rsid w:val="00A32B50"/>
    <w:rsid w:val="00CC5D76"/>
    <w:rsid w:val="00F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F462"/>
  <w15:chartTrackingRefBased/>
  <w15:docId w15:val="{C2406E66-9C79-496C-B241-485A13D9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A6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73A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3A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3A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3A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3A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3A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3A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3A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73A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7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73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3A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3A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3A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73A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73A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73A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73A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3A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3A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3A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3A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3A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3A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3A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3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1043</Words>
  <Characters>1085</Characters>
  <Application>Microsoft Office Word</Application>
  <DocSecurity>0</DocSecurity>
  <Lines>60</Lines>
  <Paragraphs>41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2025-07-26T11:07:00Z</dcterms:created>
  <dcterms:modified xsi:type="dcterms:W3CDTF">2025-07-26T11:07:00Z</dcterms:modified>
</cp:coreProperties>
</file>