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D7A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【本科教学】【暑期卓越学堂-国际前沿讲座】水务与电力系统中的数字化与AI集成应用:助力韧性发展与管理</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时间：2025-07-03</w:t>
      </w:r>
    </w:p>
    <w:p w14:paraId="5DC204D6">
      <w:pPr>
        <w:keepNext w:val="0"/>
        <w:keepLines w:val="0"/>
        <w:widowControl/>
        <w:numPr>
          <w:ilvl w:val="0"/>
          <w:numId w:val="1"/>
        </w:numPr>
        <w:suppressLineNumbers w:val="0"/>
        <w:spacing w:before="0" w:beforeAutospacing="1" w:after="0" w:afterAutospacing="1"/>
        <w:ind w:left="0" w:hanging="360"/>
      </w:pPr>
    </w:p>
    <w:p w14:paraId="22B53ACF">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ascii="仿宋" w:hAnsi="仿宋" w:eastAsia="仿宋" w:cs="仿宋"/>
          <w:i w:val="0"/>
          <w:iCs w:val="0"/>
          <w:caps w:val="0"/>
          <w:color w:val="666666"/>
          <w:spacing w:val="10"/>
          <w:kern w:val="0"/>
          <w:sz w:val="28"/>
          <w:szCs w:val="28"/>
          <w:shd w:val="clear" w:fill="FFFFFF"/>
          <w:lang w:val="en-US" w:eastAsia="zh-CN" w:bidi="ar"/>
        </w:rPr>
        <w:t>2025</w:t>
      </w:r>
      <w:r>
        <w:rPr>
          <w:rFonts w:hint="eastAsia" w:ascii="仿宋" w:hAnsi="仿宋" w:eastAsia="仿宋" w:cs="仿宋"/>
          <w:i w:val="0"/>
          <w:iCs w:val="0"/>
          <w:caps w:val="0"/>
          <w:color w:val="666666"/>
          <w:spacing w:val="10"/>
          <w:kern w:val="0"/>
          <w:sz w:val="28"/>
          <w:szCs w:val="28"/>
          <w:shd w:val="clear" w:fill="FFFFFF"/>
          <w:lang w:val="en-US" w:eastAsia="zh-CN" w:bidi="ar"/>
        </w:rPr>
        <w:t>年7月3日下午，我院“暑期卓越学堂”特邀英国帝国理工学院工程与环境学院赵振宇研究员，带来题为《水务与电力系统中的数字化与AI集成应用：助力韧性发展与管理》的精彩学术讲座。本次活动由王喆老师主持。</w:t>
      </w:r>
    </w:p>
    <w:p w14:paraId="6BE34D8C">
      <w:pPr>
        <w:keepNext w:val="0"/>
        <w:keepLines w:val="0"/>
        <w:widowControl/>
        <w:numPr>
          <w:ilvl w:val="0"/>
          <w:numId w:val="1"/>
        </w:numPr>
        <w:suppressLineNumbers w:val="0"/>
        <w:spacing w:before="0" w:beforeAutospacing="1" w:after="0" w:afterAutospacing="1"/>
        <w:ind w:left="0" w:hanging="360"/>
      </w:pPr>
    </w:p>
    <w:p w14:paraId="0A27AF31">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w:t>
      </w:r>
      <w:r>
        <w:rPr>
          <w:rFonts w:hint="eastAsia" w:ascii="仿宋" w:hAnsi="仿宋" w:eastAsia="仿宋" w:cs="仿宋"/>
          <w:i w:val="0"/>
          <w:iCs w:val="0"/>
          <w:caps w:val="0"/>
          <w:color w:val="666666"/>
          <w:spacing w:val="10"/>
          <w:kern w:val="0"/>
          <w:sz w:val="28"/>
          <w:szCs w:val="28"/>
          <w:bdr w:val="none" w:color="auto" w:sz="0" w:space="0"/>
          <w:shd w:val="clear" w:fill="FFFFFF"/>
          <w:lang w:val="en-US" w:eastAsia="zh-CN" w:bidi="ar"/>
        </w:rPr>
        <w:drawing>
          <wp:inline distT="0" distB="0" distL="114300" distR="114300">
            <wp:extent cx="2324100" cy="36576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2324100" cy="3657600"/>
                    </a:xfrm>
                    <a:prstGeom prst="rect">
                      <a:avLst/>
                    </a:prstGeom>
                    <a:noFill/>
                    <a:ln w="9525">
                      <a:noFill/>
                    </a:ln>
                  </pic:spPr>
                </pic:pic>
              </a:graphicData>
            </a:graphic>
          </wp:inline>
        </w:drawing>
      </w:r>
      <w:r>
        <w:rPr>
          <w:rFonts w:hint="eastAsia" w:ascii="仿宋" w:hAnsi="仿宋" w:eastAsia="仿宋" w:cs="仿宋"/>
          <w:i w:val="0"/>
          <w:iCs w:val="0"/>
          <w:caps w:val="0"/>
          <w:color w:val="666666"/>
          <w:spacing w:val="10"/>
          <w:kern w:val="0"/>
          <w:sz w:val="28"/>
          <w:szCs w:val="28"/>
          <w:bdr w:val="none" w:color="auto" w:sz="0" w:space="0"/>
          <w:shd w:val="clear" w:fill="FFFFFF"/>
          <w:lang w:val="en-US" w:eastAsia="zh-CN" w:bidi="ar"/>
        </w:rPr>
        <w:drawing>
          <wp:inline distT="0" distB="0" distL="114300" distR="114300">
            <wp:extent cx="2705100" cy="3295650"/>
            <wp:effectExtent l="0" t="0" r="0" b="635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2705100" cy="3295650"/>
                    </a:xfrm>
                    <a:prstGeom prst="rect">
                      <a:avLst/>
                    </a:prstGeom>
                    <a:noFill/>
                    <a:ln w="9525">
                      <a:noFill/>
                    </a:ln>
                  </pic:spPr>
                </pic:pic>
              </a:graphicData>
            </a:graphic>
          </wp:inline>
        </w:drawing>
      </w:r>
    </w:p>
    <w:p w14:paraId="4DD52A1A">
      <w:pPr>
        <w:keepNext w:val="0"/>
        <w:keepLines w:val="0"/>
        <w:widowControl/>
        <w:numPr>
          <w:ilvl w:val="0"/>
          <w:numId w:val="1"/>
        </w:numPr>
        <w:suppressLineNumbers w:val="0"/>
        <w:spacing w:before="0" w:beforeAutospacing="1" w:after="0" w:afterAutospacing="1"/>
        <w:ind w:left="0" w:hanging="360"/>
      </w:pPr>
    </w:p>
    <w:p w14:paraId="7F358A42">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default" w:ascii="Times New Roman" w:hAnsi="Times New Roman" w:eastAsia="微软雅黑" w:cs="Times New Roman"/>
          <w:i w:val="0"/>
          <w:iCs w:val="0"/>
          <w:caps w:val="0"/>
          <w:color w:val="000000"/>
          <w:spacing w:val="10"/>
          <w:kern w:val="0"/>
          <w:sz w:val="0"/>
          <w:szCs w:val="0"/>
          <w:bdr w:val="none" w:color="000000" w:sz="0" w:space="0"/>
          <w:shd w:val="clear" w:fill="000000"/>
          <w:lang w:val="en-US" w:eastAsia="zh-CN" w:bidi="ar"/>
        </w:rPr>
        <w:t> </w:t>
      </w:r>
    </w:p>
    <w:p w14:paraId="5C02191E">
      <w:pPr>
        <w:keepNext w:val="0"/>
        <w:keepLines w:val="0"/>
        <w:widowControl/>
        <w:numPr>
          <w:ilvl w:val="0"/>
          <w:numId w:val="1"/>
        </w:numPr>
        <w:suppressLineNumbers w:val="0"/>
        <w:spacing w:before="0" w:beforeAutospacing="1" w:after="0" w:afterAutospacing="1"/>
        <w:ind w:left="0" w:hanging="360"/>
      </w:pPr>
    </w:p>
    <w:p w14:paraId="03AA22C4">
      <w:pPr>
        <w:keepNext w:val="0"/>
        <w:keepLines w:val="0"/>
        <w:widowControl/>
        <w:suppressLineNumbers w:val="0"/>
        <w:spacing w:before="0" w:beforeAutospacing="1" w:after="0" w:afterAutospacing="1" w:line="263" w:lineRule="atLeast"/>
        <w:ind w:left="0" w:right="0" w:firstLine="620"/>
        <w:jc w:val="left"/>
        <w:rPr>
          <w:color w:val="666666"/>
          <w:sz w:val="15"/>
          <w:szCs w:val="15"/>
        </w:rPr>
      </w:pPr>
      <w:r>
        <w:rPr>
          <w:rFonts w:hint="eastAsia" w:ascii="仿宋" w:hAnsi="仿宋" w:eastAsia="仿宋" w:cs="仿宋"/>
          <w:i w:val="0"/>
          <w:iCs w:val="0"/>
          <w:caps w:val="0"/>
          <w:color w:val="333333"/>
          <w:spacing w:val="15"/>
          <w:kern w:val="0"/>
          <w:sz w:val="28"/>
          <w:szCs w:val="28"/>
          <w:shd w:val="clear" w:fill="FFFFFF"/>
          <w:lang w:val="en-US" w:eastAsia="zh-CN" w:bidi="ar"/>
        </w:rPr>
        <w:t>赵老师通过介绍多个欧盟地平线项目在欧洲不同地区的污水处理试点项目，探讨了在应对资源约束、能耗优化和系统不确定性等挑战中，数据驱动方法所发挥的关键作用。这些试点涵盖多种工况背景与技术路径，展示了如何通过引入机器学习模型和智能控制算法，实现出水水质、能耗与碳排放之间的协同优化。同时，讲座还结合新能源领域的大数据应用实践，阐释如何借助高频运行数据和基于深度学习的模拟预测模型提升电力系统的韧性与调度效率，以及处理在实际应用中数据丢失和错误的问题。赵老师还通过具体案例的剖析，讲解了欧美能源市场发展趋势，分析了以数据为核心的智能管理体系对于实现可持续发展与增强城市应急响应能力的意义，并解答了同学们在科学研究和学习深造方面的问题。</w:t>
      </w:r>
    </w:p>
    <w:p w14:paraId="0DB8AD6F">
      <w:pPr>
        <w:keepNext w:val="0"/>
        <w:keepLines w:val="0"/>
        <w:widowControl/>
        <w:numPr>
          <w:ilvl w:val="0"/>
          <w:numId w:val="1"/>
        </w:numPr>
        <w:suppressLineNumbers w:val="0"/>
        <w:spacing w:before="0" w:beforeAutospacing="1" w:after="0" w:afterAutospacing="1"/>
        <w:ind w:left="0" w:hanging="360"/>
      </w:pPr>
    </w:p>
    <w:p w14:paraId="596E34B8">
      <w:pPr>
        <w:keepNext w:val="0"/>
        <w:keepLines w:val="0"/>
        <w:widowControl/>
        <w:suppressLineNumbers w:val="0"/>
        <w:spacing w:before="0" w:beforeAutospacing="1" w:after="0" w:afterAutospacing="1" w:line="263" w:lineRule="atLeast"/>
        <w:ind w:left="0" w:right="0" w:firstLine="620"/>
        <w:jc w:val="left"/>
        <w:rPr>
          <w:color w:val="666666"/>
          <w:sz w:val="15"/>
          <w:szCs w:val="15"/>
        </w:rPr>
      </w:pPr>
      <w:r>
        <w:rPr>
          <w:rFonts w:hint="eastAsia" w:ascii="微软雅黑" w:hAnsi="微软雅黑" w:eastAsia="微软雅黑" w:cs="微软雅黑"/>
          <w:i w:val="0"/>
          <w:iCs w:val="0"/>
          <w:caps w:val="0"/>
          <w:color w:val="666666"/>
          <w:spacing w:val="10"/>
          <w:kern w:val="0"/>
          <w:sz w:val="15"/>
          <w:szCs w:val="15"/>
          <w:shd w:val="clear" w:fill="FFFFFF"/>
          <w:lang w:val="en-US" w:eastAsia="zh-CN" w:bidi="ar"/>
        </w:rPr>
        <w:t>                </w:t>
      </w:r>
      <w:r>
        <w:rPr>
          <w:rFonts w:hint="eastAsia" w:ascii="微软雅黑" w:hAnsi="微软雅黑" w:eastAsia="微软雅黑" w:cs="微软雅黑"/>
          <w:i w:val="0"/>
          <w:iCs w:val="0"/>
          <w:caps w:val="0"/>
          <w:color w:val="666666"/>
          <w:spacing w:val="10"/>
          <w:kern w:val="0"/>
          <w:sz w:val="15"/>
          <w:szCs w:val="15"/>
          <w:bdr w:val="none" w:color="auto" w:sz="0" w:space="0"/>
          <w:shd w:val="clear" w:fill="FFFFFF"/>
          <w:lang w:val="en-US" w:eastAsia="zh-CN" w:bidi="ar"/>
        </w:rPr>
        <w:drawing>
          <wp:inline distT="0" distB="0" distL="114300" distR="114300">
            <wp:extent cx="4457700" cy="23622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4457700" cy="2362200"/>
                    </a:xfrm>
                    <a:prstGeom prst="rect">
                      <a:avLst/>
                    </a:prstGeom>
                    <a:noFill/>
                    <a:ln w="9525">
                      <a:noFill/>
                    </a:ln>
                  </pic:spPr>
                </pic:pic>
              </a:graphicData>
            </a:graphic>
          </wp:inline>
        </w:drawing>
      </w:r>
    </w:p>
    <w:p w14:paraId="63CEA699">
      <w:pPr>
        <w:keepNext w:val="0"/>
        <w:keepLines w:val="0"/>
        <w:widowControl/>
        <w:numPr>
          <w:ilvl w:val="0"/>
          <w:numId w:val="1"/>
        </w:numPr>
        <w:suppressLineNumbers w:val="0"/>
        <w:spacing w:before="0" w:beforeAutospacing="1" w:after="0" w:afterAutospacing="1"/>
        <w:ind w:left="0" w:hanging="360"/>
      </w:pPr>
    </w:p>
    <w:p w14:paraId="6CB87AEA">
      <w:pPr>
        <w:keepNext w:val="0"/>
        <w:keepLines w:val="0"/>
        <w:widowControl/>
        <w:suppressLineNumbers w:val="0"/>
        <w:spacing w:before="0" w:beforeAutospacing="1" w:after="0" w:afterAutospacing="1" w:line="263" w:lineRule="atLeast"/>
        <w:ind w:left="0" w:right="0" w:firstLine="620"/>
        <w:jc w:val="left"/>
        <w:rPr>
          <w:color w:val="666666"/>
          <w:sz w:val="15"/>
          <w:szCs w:val="15"/>
        </w:rPr>
      </w:pPr>
      <w:r>
        <w:rPr>
          <w:rFonts w:hint="eastAsia" w:ascii="仿宋" w:hAnsi="仿宋" w:eastAsia="仿宋" w:cs="仿宋"/>
          <w:i w:val="0"/>
          <w:iCs w:val="0"/>
          <w:caps w:val="0"/>
          <w:color w:val="333333"/>
          <w:spacing w:val="15"/>
          <w:kern w:val="0"/>
          <w:sz w:val="28"/>
          <w:szCs w:val="28"/>
          <w:shd w:val="clear" w:fill="FFFFFF"/>
          <w:lang w:val="en-US" w:eastAsia="zh-CN" w:bidi="ar"/>
        </w:rPr>
        <w:t>本次讲座内容紧扣资源约束、能耗优化、韧性提升等可持续发展核心议题，有效提升了同学们在环境工程、能源系统、智能控制等交叉领域的专业认知水平。同学们得以深入了解欧盟在水务管理和电力系统智能化领域的最新研究动态与技术应用，直观学习了AI与大数据技术在城市生命线工程（水务、电力）中的实际应用场景和操作经验。通过对数据驱动方法、智能算法应用以及欧美市场趋势的剖析，启发了同学们的科研思路，为未来研究方向提供了有益参考。</w:t>
      </w:r>
    </w:p>
    <w:p w14:paraId="0A9898CF">
      <w:pPr>
        <w:keepNext w:val="0"/>
        <w:keepLines w:val="0"/>
        <w:widowControl/>
        <w:numPr>
          <w:ilvl w:val="0"/>
          <w:numId w:val="1"/>
        </w:numPr>
        <w:suppressLineNumbers w:val="0"/>
        <w:spacing w:before="0" w:beforeAutospacing="1" w:after="0" w:afterAutospacing="1"/>
        <w:ind w:left="0" w:hanging="360"/>
      </w:pPr>
    </w:p>
    <w:p w14:paraId="6EF7F47F">
      <w:pPr>
        <w:keepNext w:val="0"/>
        <w:keepLines w:val="0"/>
        <w:widowControl/>
        <w:suppressLineNumbers w:val="0"/>
        <w:spacing w:before="0" w:beforeAutospacing="1" w:after="0" w:afterAutospacing="1" w:line="263" w:lineRule="atLeast"/>
        <w:ind w:left="0" w:right="0" w:firstLine="620"/>
        <w:jc w:val="left"/>
        <w:rPr>
          <w:color w:val="666666"/>
          <w:sz w:val="15"/>
          <w:szCs w:val="15"/>
        </w:rPr>
      </w:pPr>
      <w:r>
        <w:rPr>
          <w:rFonts w:hint="eastAsia" w:ascii="仿宋" w:hAnsi="仿宋" w:eastAsia="仿宋" w:cs="仿宋"/>
          <w:i w:val="0"/>
          <w:iCs w:val="0"/>
          <w:caps w:val="0"/>
          <w:color w:val="333333"/>
          <w:spacing w:val="15"/>
          <w:kern w:val="0"/>
          <w:sz w:val="28"/>
          <w:szCs w:val="28"/>
          <w:shd w:val="clear" w:fill="FFFFFF"/>
          <w:lang w:val="en-US" w:eastAsia="zh-CN" w:bidi="ar"/>
        </w:rPr>
        <w:t> </w:t>
      </w:r>
    </w:p>
    <w:p w14:paraId="3134BF72">
      <w:pPr>
        <w:keepNext w:val="0"/>
        <w:keepLines w:val="0"/>
        <w:widowControl/>
        <w:numPr>
          <w:ilvl w:val="0"/>
          <w:numId w:val="1"/>
        </w:numPr>
        <w:suppressLineNumbers w:val="0"/>
        <w:spacing w:before="0" w:beforeAutospacing="1" w:after="0" w:afterAutospacing="1"/>
        <w:ind w:left="0" w:hanging="360"/>
      </w:pPr>
    </w:p>
    <w:p w14:paraId="43143D7A">
      <w:pPr>
        <w:keepNext w:val="0"/>
        <w:keepLines w:val="0"/>
        <w:widowControl/>
        <w:suppressLineNumbers w:val="0"/>
        <w:spacing w:before="0" w:beforeAutospacing="1" w:after="0" w:afterAutospacing="1" w:line="263" w:lineRule="atLeast"/>
        <w:ind w:left="0" w:right="0" w:firstLine="620"/>
        <w:jc w:val="right"/>
        <w:rPr>
          <w:color w:val="666666"/>
          <w:sz w:val="15"/>
          <w:szCs w:val="15"/>
        </w:rPr>
      </w:pPr>
      <w:r>
        <w:rPr>
          <w:rFonts w:hint="eastAsia" w:ascii="仿宋" w:hAnsi="仿宋" w:eastAsia="仿宋" w:cs="仿宋"/>
          <w:i w:val="0"/>
          <w:iCs w:val="0"/>
          <w:caps w:val="0"/>
          <w:color w:val="333333"/>
          <w:spacing w:val="15"/>
          <w:kern w:val="0"/>
          <w:sz w:val="28"/>
          <w:szCs w:val="28"/>
          <w:shd w:val="clear" w:fill="FFFFFF"/>
          <w:lang w:val="en-US" w:eastAsia="zh-CN" w:bidi="ar"/>
        </w:rPr>
        <w:t>通讯员：敖艺璇 王喆     审稿人：吕伟</w:t>
      </w:r>
    </w:p>
    <w:p w14:paraId="22B9C25C">
      <w:pPr>
        <w:keepNext w:val="0"/>
        <w:keepLines w:val="0"/>
        <w:widowControl/>
        <w:numPr>
          <w:ilvl w:val="0"/>
          <w:numId w:val="1"/>
        </w:numPr>
        <w:suppressLineNumbers w:val="0"/>
        <w:spacing w:before="0" w:beforeAutospacing="1" w:after="0" w:afterAutospacing="1"/>
        <w:ind w:left="0" w:hanging="360"/>
      </w:pPr>
    </w:p>
    <w:p w14:paraId="4DED94E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4DC0FC"/>
    <w:multiLevelType w:val="multilevel"/>
    <w:tmpl w:val="504DC0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C61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2025-07-26T12:08:10Z</dcterms:created>
  <dc:creator>lenovo</dc:creator>
  <cp:lastModifiedBy>皮卡丘</cp:lastModifiedBy>
  <dcterms:modified xsi:type="dcterms:W3CDTF">2025-07-26T12:08:17Z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9392E80CA3434183A86ADBF255407CCD_12</vt:lpwstr>
  </property>
</Properties>
</file>