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0C1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【本科教学】我院3门课程获批教育部安全科学与工程类专业教指委课程思政指南建设课程</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时间：2022-12-12</w:t>
      </w:r>
    </w:p>
    <w:p w14:paraId="42ACD604">
      <w:pPr>
        <w:keepNext w:val="0"/>
        <w:keepLines w:val="0"/>
        <w:widowControl/>
        <w:numPr>
          <w:ilvl w:val="0"/>
          <w:numId w:val="1"/>
        </w:numPr>
        <w:suppressLineNumbers w:val="0"/>
        <w:spacing w:before="0" w:beforeAutospacing="1" w:after="0" w:afterAutospacing="1"/>
        <w:ind w:left="0" w:hanging="360"/>
      </w:pPr>
    </w:p>
    <w:p w14:paraId="77B3B5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ind w:left="0" w:firstLine="0"/>
        <w:jc w:val="both"/>
        <w:rPr>
          <w:rFonts w:hint="eastAsia" w:ascii="微软雅黑" w:hAnsi="微软雅黑" w:eastAsia="微软雅黑" w:cs="微软雅黑"/>
          <w:i w:val="0"/>
          <w:iCs w:val="0"/>
          <w:caps w:val="0"/>
          <w:color w:val="333333"/>
          <w:spacing w:val="10"/>
          <w:sz w:val="16"/>
          <w:szCs w:val="16"/>
        </w:rPr>
      </w:pPr>
      <w:r>
        <w:rPr>
          <w:rFonts w:hint="eastAsia" w:ascii="宋体" w:hAnsi="宋体" w:eastAsia="宋体" w:cs="宋体"/>
          <w:i w:val="0"/>
          <w:iCs w:val="0"/>
          <w:caps w:val="0"/>
          <w:color w:val="333333"/>
          <w:spacing w:val="10"/>
          <w:kern w:val="0"/>
          <w:sz w:val="16"/>
          <w:szCs w:val="16"/>
          <w:bdr w:val="none" w:color="auto" w:sz="0" w:space="0"/>
          <w:shd w:val="clear" w:fill="FFFFFF"/>
          <w:lang w:val="en-US" w:eastAsia="zh-CN" w:bidi="ar"/>
        </w:rPr>
        <w:t>  近日，教育部高等学校安全科学与工程类专业教学指导委员会公布了课程思政指南建设课程名单，我院《防火防爆工程》（课程负责人：袁必和）、《职业安全卫生》（课程负责人：刘艳艳）、《应急决策理论与方法》（课程负责人：王喆）三门课程位列其中。</w:t>
      </w:r>
    </w:p>
    <w:p w14:paraId="069CC916">
      <w:pPr>
        <w:keepNext w:val="0"/>
        <w:keepLines w:val="0"/>
        <w:widowControl/>
        <w:numPr>
          <w:ilvl w:val="0"/>
          <w:numId w:val="1"/>
        </w:numPr>
        <w:suppressLineNumbers w:val="0"/>
        <w:spacing w:before="0" w:beforeAutospacing="1" w:after="0" w:afterAutospacing="1"/>
        <w:ind w:left="0" w:hanging="360"/>
      </w:pPr>
    </w:p>
    <w:p w14:paraId="19952F5C">
      <w:pPr>
        <w:pStyle w:val="2"/>
        <w:keepNext w:val="0"/>
        <w:keepLines w:val="0"/>
        <w:widowControl/>
        <w:suppressLineNumbers w:val="0"/>
        <w:wordWrap w:val="0"/>
        <w:spacing w:before="0" w:beforeAutospacing="1" w:after="0" w:afterAutospacing="1" w:line="300" w:lineRule="atLeast"/>
        <w:ind w:left="0" w:right="0"/>
        <w:jc w:val="both"/>
        <w:rPr>
          <w:color w:val="666666"/>
          <w:sz w:val="15"/>
          <w:szCs w:val="15"/>
        </w:rPr>
      </w:pPr>
      <w:r>
        <w:rPr>
          <w:rFonts w:hint="eastAsia" w:ascii="宋体" w:hAnsi="宋体" w:eastAsia="宋体" w:cs="宋体"/>
          <w:i w:val="0"/>
          <w:iCs w:val="0"/>
          <w:caps w:val="0"/>
          <w:color w:val="666666"/>
          <w:spacing w:val="10"/>
          <w:sz w:val="15"/>
          <w:szCs w:val="15"/>
          <w:bdr w:val="none" w:color="auto" w:sz="0" w:space="0"/>
          <w:shd w:val="clear" w:fill="FFFFFF"/>
        </w:rPr>
        <w:drawing>
          <wp:inline distT="0" distB="0" distL="114300" distR="114300">
            <wp:extent cx="4619625" cy="6486525"/>
            <wp:effectExtent l="0" t="0" r="317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619625" cy="6486525"/>
                    </a:xfrm>
                    <a:prstGeom prst="rect">
                      <a:avLst/>
                    </a:prstGeom>
                    <a:noFill/>
                    <a:ln w="9525">
                      <a:noFill/>
                    </a:ln>
                  </pic:spPr>
                </pic:pic>
              </a:graphicData>
            </a:graphic>
          </wp:inline>
        </w:drawing>
      </w:r>
    </w:p>
    <w:p w14:paraId="326C5676">
      <w:pPr>
        <w:keepNext w:val="0"/>
        <w:keepLines w:val="0"/>
        <w:widowControl/>
        <w:numPr>
          <w:ilvl w:val="0"/>
          <w:numId w:val="1"/>
        </w:numPr>
        <w:suppressLineNumbers w:val="0"/>
        <w:spacing w:before="0" w:beforeAutospacing="1" w:after="0" w:afterAutospacing="1"/>
        <w:ind w:left="0" w:hanging="360"/>
      </w:pPr>
    </w:p>
    <w:p w14:paraId="273064AC">
      <w:pPr>
        <w:pStyle w:val="2"/>
        <w:keepNext w:val="0"/>
        <w:keepLines w:val="0"/>
        <w:widowControl/>
        <w:suppressLineNumbers w:val="0"/>
        <w:wordWrap w:val="0"/>
        <w:spacing w:before="0" w:beforeAutospacing="1" w:after="0" w:afterAutospacing="1" w:line="300" w:lineRule="atLeast"/>
        <w:ind w:left="0" w:right="0"/>
        <w:jc w:val="both"/>
        <w:rPr>
          <w:color w:val="666666"/>
          <w:sz w:val="15"/>
          <w:szCs w:val="15"/>
        </w:rPr>
      </w:pPr>
      <w:r>
        <w:rPr>
          <w:rFonts w:hint="eastAsia" w:ascii="宋体" w:hAnsi="宋体" w:eastAsia="宋体" w:cs="宋体"/>
          <w:i w:val="0"/>
          <w:iCs w:val="0"/>
          <w:caps w:val="0"/>
          <w:color w:val="666666"/>
          <w:spacing w:val="10"/>
          <w:sz w:val="15"/>
          <w:szCs w:val="15"/>
          <w:bdr w:val="none" w:color="auto" w:sz="0" w:space="0"/>
          <w:shd w:val="clear" w:fill="FFFFFF"/>
        </w:rPr>
        <w:drawing>
          <wp:inline distT="0" distB="0" distL="114300" distR="114300">
            <wp:extent cx="5260975" cy="701675"/>
            <wp:effectExtent l="0" t="0" r="9525" b="952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0975" cy="701675"/>
                    </a:xfrm>
                    <a:prstGeom prst="rect">
                      <a:avLst/>
                    </a:prstGeom>
                    <a:noFill/>
                    <a:ln w="9525">
                      <a:noFill/>
                    </a:ln>
                  </pic:spPr>
                </pic:pic>
              </a:graphicData>
            </a:graphic>
          </wp:inline>
        </w:drawing>
      </w:r>
    </w:p>
    <w:p w14:paraId="26495C86">
      <w:pPr>
        <w:keepNext w:val="0"/>
        <w:keepLines w:val="0"/>
        <w:widowControl/>
        <w:numPr>
          <w:ilvl w:val="0"/>
          <w:numId w:val="1"/>
        </w:numPr>
        <w:suppressLineNumbers w:val="0"/>
        <w:spacing w:before="0" w:beforeAutospacing="1" w:after="0" w:afterAutospacing="1"/>
        <w:ind w:left="0" w:hanging="360"/>
      </w:pPr>
    </w:p>
    <w:p w14:paraId="32EE22FE">
      <w:pPr>
        <w:pStyle w:val="2"/>
        <w:keepNext w:val="0"/>
        <w:keepLines w:val="0"/>
        <w:widowControl/>
        <w:suppressLineNumbers w:val="0"/>
        <w:wordWrap w:val="0"/>
        <w:spacing w:before="0" w:beforeAutospacing="1" w:after="0" w:afterAutospacing="1" w:line="300" w:lineRule="atLeast"/>
        <w:ind w:left="0" w:right="0"/>
        <w:jc w:val="both"/>
        <w:rPr>
          <w:color w:val="666666"/>
          <w:sz w:val="15"/>
          <w:szCs w:val="15"/>
        </w:rPr>
      </w:pPr>
    </w:p>
    <w:p w14:paraId="2C9757D6">
      <w:pPr>
        <w:keepNext w:val="0"/>
        <w:keepLines w:val="0"/>
        <w:widowControl/>
        <w:numPr>
          <w:ilvl w:val="0"/>
          <w:numId w:val="1"/>
        </w:numPr>
        <w:suppressLineNumbers w:val="0"/>
        <w:spacing w:before="0" w:beforeAutospacing="1" w:after="0" w:afterAutospacing="1"/>
        <w:ind w:left="0" w:hanging="360"/>
      </w:pPr>
    </w:p>
    <w:p w14:paraId="772BF19D">
      <w:pPr>
        <w:keepNext w:val="0"/>
        <w:keepLines w:val="0"/>
        <w:widowControl/>
        <w:suppressLineNumbers w:val="0"/>
        <w:wordWrap w:val="0"/>
        <w:spacing w:before="0" w:beforeAutospacing="1" w:after="0" w:afterAutospacing="1" w:line="225" w:lineRule="atLeast"/>
        <w:ind w:left="0" w:right="0" w:firstLine="420"/>
        <w:jc w:val="both"/>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据悉，教育部2020年5月下发了关于印发《高等学校课程思政建设指导纲要》（以下简称“纲要”）的通知，为深入实施纲要，分类推进高校课程思政建设，全面提高专业课教师育人能力，2021年9月，教育部高教司向各教指委下发《关于开展专业类课程思政教学指南研制工作》的通知，要求各教指委组织开展相关专业类课程思政教学指南研制工作。安全科学与工程类专业教指委结合工作计划，2022年1月-6月，对40所高校编写的109门专业课程思政指南进行初审、反馈意见、修改完善、提交审阅、最终审阅通过报教育部高教司。</w:t>
      </w:r>
    </w:p>
    <w:p w14:paraId="1732A5F2">
      <w:pPr>
        <w:keepNext w:val="0"/>
        <w:keepLines w:val="0"/>
        <w:widowControl/>
        <w:numPr>
          <w:ilvl w:val="0"/>
          <w:numId w:val="1"/>
        </w:numPr>
        <w:suppressLineNumbers w:val="0"/>
        <w:spacing w:before="0" w:beforeAutospacing="1" w:after="0" w:afterAutospacing="1"/>
        <w:ind w:left="0" w:hanging="360"/>
      </w:pPr>
    </w:p>
    <w:p w14:paraId="66B8B7F5">
      <w:pPr>
        <w:keepNext w:val="0"/>
        <w:keepLines w:val="0"/>
        <w:widowControl/>
        <w:suppressLineNumbers w:val="0"/>
        <w:wordWrap w:val="0"/>
        <w:spacing w:before="0" w:beforeAutospacing="1" w:after="0" w:afterAutospacing="1" w:line="225" w:lineRule="atLeast"/>
        <w:ind w:left="0" w:right="0" w:firstLine="420"/>
        <w:jc w:val="both"/>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我院高度重视课程思政建设，始终坚持立德树人根本任务，全面贯彻党的教育方针，深入落实学校“党委抓课堂”的工作指示，以“守好一段渠、种好责任田”为要求促进各门课程与思政元素深入融合、协同前行。通过组织申报校级课程思政项目选树示范课程，发挥学院教师教学发展中心功能开展多场课程思政建设教师培训，加强各专业分类指导和资源共享，引导青年学生坚定“四个自信”和树立正确的世界观、价值观、人生观，培养具有爱国主义情怀的时代新人，促使构建具有鲜明时代特色和专业特色的课程思政育人新格局。</w:t>
      </w:r>
    </w:p>
    <w:p w14:paraId="158CA24D">
      <w:pPr>
        <w:keepNext w:val="0"/>
        <w:keepLines w:val="0"/>
        <w:widowControl/>
        <w:numPr>
          <w:ilvl w:val="0"/>
          <w:numId w:val="1"/>
        </w:numPr>
        <w:suppressLineNumbers w:val="0"/>
        <w:spacing w:before="0" w:beforeAutospacing="1" w:after="0" w:afterAutospacing="1"/>
        <w:ind w:left="0" w:hanging="360"/>
      </w:pPr>
    </w:p>
    <w:p w14:paraId="79BBFC89">
      <w:pPr>
        <w:keepNext w:val="0"/>
        <w:keepLines w:val="0"/>
        <w:widowControl/>
        <w:suppressLineNumbers w:val="0"/>
        <w:wordWrap w:val="0"/>
        <w:spacing w:before="0" w:beforeAutospacing="1" w:after="0" w:afterAutospacing="1" w:line="225" w:lineRule="atLeast"/>
        <w:ind w:left="0" w:right="0" w:firstLine="420"/>
        <w:jc w:val="both"/>
        <w:rPr>
          <w:color w:val="666666"/>
          <w:sz w:val="15"/>
          <w:szCs w:val="15"/>
        </w:rPr>
      </w:pPr>
    </w:p>
    <w:p w14:paraId="6FFB80EE">
      <w:pPr>
        <w:keepNext w:val="0"/>
        <w:keepLines w:val="0"/>
        <w:widowControl/>
        <w:numPr>
          <w:ilvl w:val="0"/>
          <w:numId w:val="1"/>
        </w:numPr>
        <w:suppressLineNumbers w:val="0"/>
        <w:spacing w:before="0" w:beforeAutospacing="1" w:after="0" w:afterAutospacing="1"/>
        <w:ind w:left="0" w:hanging="360"/>
      </w:pPr>
    </w:p>
    <w:p w14:paraId="721CDA47">
      <w:pPr>
        <w:keepNext w:val="0"/>
        <w:keepLines w:val="0"/>
        <w:widowControl/>
        <w:suppressLineNumbers w:val="0"/>
        <w:wordWrap w:val="0"/>
        <w:spacing w:before="0" w:beforeAutospacing="1" w:after="0" w:afterAutospacing="1" w:line="225" w:lineRule="atLeast"/>
        <w:ind w:left="0" w:right="0" w:firstLine="420"/>
        <w:jc w:val="right"/>
        <w:rPr>
          <w:color w:val="666666"/>
          <w:sz w:val="15"/>
          <w:szCs w:val="15"/>
        </w:rPr>
      </w:pPr>
      <w:r>
        <w:rPr>
          <w:rFonts w:hint="eastAsia" w:ascii="宋体" w:hAnsi="宋体" w:eastAsia="宋体" w:cs="宋体"/>
          <w:i w:val="0"/>
          <w:iCs w:val="0"/>
          <w:caps w:val="0"/>
          <w:color w:val="666666"/>
          <w:spacing w:val="10"/>
          <w:kern w:val="0"/>
          <w:sz w:val="15"/>
          <w:szCs w:val="15"/>
          <w:shd w:val="clear" w:fill="FFFFFF"/>
          <w:lang w:val="en-US" w:eastAsia="zh-CN" w:bidi="ar"/>
        </w:rPr>
        <w:t>编辑：苏姝燕，审核：吕伟</w:t>
      </w:r>
    </w:p>
    <w:p w14:paraId="0897B216">
      <w:pPr>
        <w:keepNext w:val="0"/>
        <w:keepLines w:val="0"/>
        <w:widowControl/>
        <w:numPr>
          <w:ilvl w:val="0"/>
          <w:numId w:val="1"/>
        </w:numPr>
        <w:suppressLineNumbers w:val="0"/>
        <w:spacing w:before="0" w:beforeAutospacing="1" w:after="0" w:afterAutospacing="1"/>
        <w:ind w:left="0" w:hanging="360"/>
      </w:pPr>
    </w:p>
    <w:p w14:paraId="3C6FCE7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6AF364"/>
    <w:multiLevelType w:val="multilevel"/>
    <w:tmpl w:val="946AF3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DD09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2025-07-26T11:58:30Z</dcterms:created>
  <dc:creator>lenovo</dc:creator>
  <cp:lastModifiedBy>皮卡丘</cp:lastModifiedBy>
  <dcterms:modified xsi:type="dcterms:W3CDTF">2025-07-26T11:58:35Z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179B01276005472EAFE4EABF521ADAD2_12</vt:lpwstr>
  </property>
</Properties>
</file>