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A98BDE5" w14:textId="77777777" w:rsidR="00212214" w:rsidRDefault="00053E4C" w:rsidP="00053E4C">
      <w:pPr>
        <w:pStyle w:val="Author"/>
        <w:spacing w:before="5pt" w:beforeAutospacing="1"/>
        <w:rPr>
          <w:rFonts w:eastAsiaTheme="minorEastAsia"/>
          <w:kern w:val="48"/>
          <w:sz w:val="48"/>
          <w:szCs w:val="48"/>
          <w:lang w:eastAsia="zh-CN"/>
        </w:rPr>
      </w:pPr>
      <w:r w:rsidRPr="00053E4C">
        <w:rPr>
          <w:rFonts w:eastAsiaTheme="minorEastAsia"/>
          <w:kern w:val="48"/>
          <w:sz w:val="48"/>
          <w:szCs w:val="48"/>
          <w:lang w:eastAsia="zh-CN"/>
        </w:rPr>
        <w:t>A Fully Asynchronous Hierarchical NoC with Multicast Routing Across Tree and Mesh Tiers</w:t>
      </w:r>
    </w:p>
    <w:p w14:paraId="74D9383E" w14:textId="1EDF60FE" w:rsidR="00053E4C" w:rsidRDefault="00053E4C" w:rsidP="00053E4C">
      <w:pPr>
        <w:pStyle w:val="Author"/>
        <w:spacing w:before="5pt" w:beforeAutospacing="1"/>
        <w:rPr>
          <w:sz w:val="18"/>
          <w:szCs w:val="18"/>
          <w:lang w:eastAsia="zh-CN"/>
        </w:rPr>
      </w:pPr>
      <w:r w:rsidRPr="00F847A6">
        <w:rPr>
          <w:sz w:val="18"/>
          <w:szCs w:val="18"/>
        </w:rPr>
        <w:t>line 1: 1</w:t>
      </w:r>
      <w:r w:rsidRPr="00F847A6">
        <w:rPr>
          <w:sz w:val="18"/>
          <w:szCs w:val="18"/>
          <w:vertAlign w:val="superscript"/>
        </w:rPr>
        <w:t>st</w:t>
      </w:r>
      <w:r w:rsidRPr="00F847A6">
        <w:rPr>
          <w:sz w:val="18"/>
          <w:szCs w:val="18"/>
        </w:rPr>
        <w:t xml:space="preserve"> Given Name Surname </w:t>
      </w:r>
      <w:r w:rsidRPr="00F847A6">
        <w:rPr>
          <w:sz w:val="18"/>
          <w:szCs w:val="18"/>
        </w:rPr>
        <w:br/>
        <w:t xml:space="preserve">line 2: </w:t>
      </w:r>
      <w:r w:rsidRPr="00F847A6">
        <w:rPr>
          <w:i/>
          <w:sz w:val="18"/>
          <w:szCs w:val="18"/>
        </w:rPr>
        <w:t>dept. name of organization</w:t>
      </w:r>
      <w:r>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or ORCI</w:t>
      </w:r>
      <w:r>
        <w:rPr>
          <w:rFonts w:hint="eastAsia"/>
          <w:sz w:val="18"/>
          <w:szCs w:val="18"/>
          <w:lang w:eastAsia="zh-CN"/>
        </w:rPr>
        <w:t>D</w:t>
      </w:r>
    </w:p>
    <w:p w14:paraId="6111ED35" w14:textId="77777777" w:rsidR="00053E4C" w:rsidRPr="00053E4C" w:rsidRDefault="00053E4C" w:rsidP="00CA4392">
      <w:pPr>
        <w:pStyle w:val="Author"/>
        <w:spacing w:before="5pt" w:beforeAutospacing="1" w:after="5pt" w:afterAutospacing="1" w:line="6pt" w:lineRule="auto"/>
        <w:rPr>
          <w:sz w:val="16"/>
          <w:szCs w:val="16"/>
          <w:lang w:eastAsia="zh-CN"/>
        </w:rPr>
        <w:sectPr w:rsidR="00053E4C" w:rsidRPr="00053E4C" w:rsidSect="003B4E04">
          <w:footerReference w:type="first" r:id="rId8"/>
          <w:pgSz w:w="595.30pt" w:h="841.90pt" w:code="9"/>
          <w:pgMar w:top="27pt" w:right="44.65pt" w:bottom="72pt" w:left="44.65pt" w:header="36pt" w:footer="36pt" w:gutter="0pt"/>
          <w:cols w:space="36pt"/>
          <w:titlePg/>
          <w:docGrid w:linePitch="360"/>
        </w:sectPr>
      </w:pPr>
    </w:p>
    <w:p w14:paraId="585D0763" w14:textId="6F5083FD" w:rsidR="009F1D79" w:rsidRPr="00053E4C" w:rsidRDefault="00BD670B" w:rsidP="00053E4C">
      <w:pPr>
        <w:pStyle w:val="Author"/>
        <w:spacing w:before="5pt" w:beforeAutospacing="1"/>
        <w:jc w:val="both"/>
        <w:rPr>
          <w:sz w:val="18"/>
          <w:szCs w:val="18"/>
        </w:rPr>
        <w:sectPr w:rsidR="009F1D79" w:rsidRPr="00053E4C"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03F143E0"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9C592DC"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0B9FDB64"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0EB03A29" w14:textId="11E36D7B" w:rsidR="009303D9" w:rsidRPr="00D632BE" w:rsidRDefault="009303D9" w:rsidP="006B6B66">
      <w:pPr>
        <w:pStyle w:val="1"/>
      </w:pPr>
      <w:bookmarkStart w:id="0" w:name="_Ref239451333"/>
      <w:r w:rsidRPr="00D632BE">
        <w:t>Introduction</w:t>
      </w:r>
      <w:bookmarkEnd w:id="0"/>
      <w:r w:rsidRPr="00D632BE">
        <w:t xml:space="preserve"> </w:t>
      </w:r>
    </w:p>
    <w:p w14:paraId="5A223171" w14:textId="6DF7D76E" w:rsidR="002D0D7C" w:rsidRPr="002D0D7C" w:rsidRDefault="002D0D7C" w:rsidP="002D0D7C">
      <w:pPr>
        <w:pStyle w:val="a3"/>
        <w:rPr>
          <w:lang w:eastAsia="zh-CN"/>
        </w:rPr>
      </w:pPr>
      <w:r w:rsidRPr="002D0D7C">
        <w:rPr>
          <w:lang w:eastAsia="zh-CN"/>
        </w:rPr>
        <w:t xml:space="preserve">Large-scale neuromorphic and event-driven processors increasingly depend on the scalability of their on-chip communication fabrics. IBM TrueNorth integrates 4,096 neurosynaptic cores on a single chip (TrueNorth), while the more recent PAICORE integrates 1,024 neuromorphic cores with an on-chip hierarchical interconnect (PAICORE). Intel’s </w:t>
      </w:r>
      <w:proofErr w:type="spellStart"/>
      <w:r w:rsidRPr="002D0D7C">
        <w:rPr>
          <w:lang w:eastAsia="zh-CN"/>
        </w:rPr>
        <w:t>Loihi</w:t>
      </w:r>
      <w:proofErr w:type="spellEnd"/>
      <w:r w:rsidRPr="002D0D7C">
        <w:rPr>
          <w:lang w:eastAsia="zh-CN"/>
        </w:rPr>
        <w:t xml:space="preserve"> 2 contains up to 128 fully asynchronous neuron cores connected by an on-chip network (</w:t>
      </w:r>
      <w:proofErr w:type="spellStart"/>
      <w:r w:rsidRPr="002D0D7C">
        <w:rPr>
          <w:lang w:eastAsia="zh-CN"/>
        </w:rPr>
        <w:t>Loihi</w:t>
      </w:r>
      <w:proofErr w:type="spellEnd"/>
      <w:r w:rsidRPr="002D0D7C">
        <w:rPr>
          <w:lang w:eastAsia="zh-CN"/>
        </w:rPr>
        <w:t xml:space="preserve"> 2 Technology Brief), and Hala Point further scales 1,152 </w:t>
      </w:r>
      <w:proofErr w:type="spellStart"/>
      <w:r w:rsidRPr="002D0D7C">
        <w:rPr>
          <w:lang w:eastAsia="zh-CN"/>
        </w:rPr>
        <w:t>Loihi</w:t>
      </w:r>
      <w:proofErr w:type="spellEnd"/>
      <w:r w:rsidRPr="002D0D7C">
        <w:rPr>
          <w:lang w:eastAsia="zh-CN"/>
        </w:rPr>
        <w:t xml:space="preserve"> 2 processors to 140,544 neuromorphic cores (Hala Point). Neural connectivity meanwhile requires sparse events to be delivered to both nearby and distant destinations with inherently high fanout. As system size grows, the network must therefore sustain more concurrent communication while meeting increasingly stringent latency, throughput, and energy constraints. Communication bandwidth, routing latency, and routing resources have consequently become important scalability concerns in large neuromorphic systems (DYNAPs; PAICORE; Ultra). This pressure is further amplified by high-fanout communication, where a single event may generate traffic toward many destinations and increase network load even when computation itself is sparse (Multicast Tree Router; HBS). The central interconnect challenge is therefore not simply to connect more processing elements, but to maintain NoC performance as both network scale and communication fanout increase.</w:t>
      </w:r>
    </w:p>
    <w:p w14:paraId="6CCF95D0" w14:textId="77777777" w:rsidR="002D0D7C" w:rsidRPr="002D0D7C" w:rsidRDefault="002D0D7C" w:rsidP="002D0D7C">
      <w:pPr>
        <w:pStyle w:val="a3"/>
        <w:rPr>
          <w:lang w:eastAsia="zh-CN"/>
        </w:rPr>
      </w:pPr>
      <w:r w:rsidRPr="002D0D7C">
        <w:rPr>
          <w:lang w:eastAsia="zh-CN"/>
        </w:rPr>
        <w:t>Prior work has improved NoC performance by targeting different components of packet delivery. Following the standard latency decomposition used in interconnection-network analysis (Dally &amp; Towles; SMART), the communication latency can be expressed as</w:t>
      </w:r>
    </w:p>
    <w:p w14:paraId="72B33DA0" w14:textId="5B0B1478" w:rsidR="002D0D7C" w:rsidRPr="002D0D7C" w:rsidRDefault="002D0D7C" w:rsidP="002D0D7C">
      <w:pPr>
        <w:pStyle w:val="a3"/>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T</m:t>
                    </m:r>
                  </m:e>
                  <m:sub>
                    <m:r>
                      <m:rPr>
                        <m:sty m:val="p"/>
                      </m:rPr>
                      <w:rPr>
                        <w:rFonts w:ascii="Cambria Math" w:hAnsi="Cambria Math"/>
                        <w:lang w:eastAsia="zh-CN"/>
                      </w:rPr>
                      <m:t>comm</m:t>
                    </m:r>
                  </m:sub>
                </m:sSub>
                <m:r>
                  <w:rPr>
                    <w:rFonts w:ascii="Cambria Math" w:hAnsi="Cambria Math"/>
                    <w:lang w:eastAsia="zh-CN"/>
                  </w:rPr>
                  <m:t>=H</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r>
                  <w:rPr>
                    <w:rFonts w:ascii="Cambria Math" w:hAnsi="Cambria Math"/>
                    <w:lang w:eastAsia="zh-CN"/>
                  </w:rPr>
                  <m:t>+H</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w</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r>
                  <w:rPr>
                    <w:rFonts w:ascii="Cambria Math" w:hAnsi="Cambria Math"/>
                    <w:lang w:eastAsia="zh-CN"/>
                  </w:rPr>
                  <m:t>+</m:t>
                </m:r>
                <m:f>
                  <m:fPr>
                    <m:ctrlPr>
                      <w:rPr>
                        <w:rFonts w:ascii="Cambria Math" w:hAnsi="Cambria Math"/>
                        <w:lang w:eastAsia="zh-CN"/>
                      </w:rPr>
                    </m:ctrlPr>
                  </m:fPr>
                  <m:num>
                    <m:r>
                      <w:rPr>
                        <w:rFonts w:ascii="Cambria Math" w:hAnsi="Cambria Math"/>
                        <w:lang w:eastAsia="zh-CN"/>
                      </w:rPr>
                      <m:t>L</m:t>
                    </m:r>
                  </m:num>
                  <m:den>
                    <m:r>
                      <w:rPr>
                        <w:rFonts w:ascii="Cambria Math" w:hAnsi="Cambria Math"/>
                        <w:lang w:eastAsia="zh-CN"/>
                      </w:rPr>
                      <m:t>b</m:t>
                    </m:r>
                  </m:den>
                </m:f>
                <m:r>
                  <w:rPr>
                    <w:rFonts w:ascii="Cambria Math" w:hAnsi="Cambria Math"/>
                    <w:lang w:eastAsia="zh-CN"/>
                  </w:rPr>
                  <m:t>,</m:t>
                </m:r>
              </m:e>
              <m:e/>
              <m:e>
                <m:r>
                  <m:rPr>
                    <m:nor/>
                  </m:rPr>
                  <w:rPr>
                    <w:lang w:eastAsia="zh-CN"/>
                  </w:rPr>
                  <m:t>(1)</m:t>
                </m:r>
              </m:e>
            </m:mr>
          </m:m>
          <m:r>
            <w:rPr>
              <w:lang w:eastAsia="zh-CN"/>
            </w:rPr>
            <w:br/>
          </m:r>
        </m:oMath>
      </m:oMathPara>
    </w:p>
    <w:p w14:paraId="61502712" w14:textId="03104BC9" w:rsidR="002D0D7C" w:rsidRPr="002D0D7C" w:rsidRDefault="002D0D7C" w:rsidP="002D0D7C">
      <w:pPr>
        <w:pStyle w:val="a3"/>
        <w:rPr>
          <w:lang w:eastAsia="zh-CN"/>
        </w:rPr>
      </w:pPr>
      <w:r w:rsidRPr="002D0D7C">
        <w:rPr>
          <w:lang w:eastAsia="zh-CN"/>
        </w:rPr>
        <w:t xml:space="preserve">where </w:t>
      </w:r>
      <m:oMath>
        <m:r>
          <w:rPr>
            <w:rFonts w:ascii="Cambria Math" w:hAnsi="Cambria Math"/>
            <w:lang w:eastAsia="zh-CN"/>
          </w:rPr>
          <m:t>H</m:t>
        </m:r>
      </m:oMath>
      <w:r w:rsidRPr="002D0D7C">
        <w:rPr>
          <w:lang w:eastAsia="zh-CN"/>
        </w:rPr>
        <w:t xml:space="preserve">is the number of router hops,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oMath>
      <w:r w:rsidRPr="002D0D7C">
        <w:rPr>
          <w:lang w:eastAsia="zh-CN"/>
        </w:rPr>
        <w:t xml:space="preserve">and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w</m:t>
            </m:r>
          </m:sub>
        </m:sSub>
      </m:oMath>
      <w:r w:rsidRPr="002D0D7C">
        <w:rPr>
          <w:lang w:eastAsia="zh-CN"/>
        </w:rPr>
        <w:t xml:space="preserve">are the router and link delays per hop,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is the delay caused by contention, and </w:t>
      </w:r>
      <m:oMath>
        <m:r>
          <w:rPr>
            <w:rFonts w:ascii="Cambria Math" w:hAnsi="Cambria Math"/>
            <w:lang w:eastAsia="zh-CN"/>
          </w:rPr>
          <m:t>L/b</m:t>
        </m:r>
      </m:oMath>
      <w:r w:rsidRPr="002D0D7C">
        <w:rPr>
          <w:lang w:eastAsia="zh-CN"/>
        </w:rPr>
        <w:t xml:space="preserve">represents packet serialization. This model highlights three complementary directions for NoC performance optimization. </w:t>
      </w:r>
      <w:r w:rsidRPr="002D0D7C">
        <w:rPr>
          <w:b/>
          <w:bCs/>
          <w:lang w:eastAsia="zh-CN"/>
        </w:rPr>
        <w:t>(a) Topology optimization:</w:t>
      </w:r>
      <w:r w:rsidRPr="002D0D7C">
        <w:rPr>
          <w:lang w:eastAsia="zh-CN"/>
        </w:rPr>
        <w:t xml:space="preserve"> topology primarily reduces </w:t>
      </w:r>
      <m:oMath>
        <m:r>
          <w:rPr>
            <w:rFonts w:ascii="Cambria Math" w:hAnsi="Cambria Math"/>
            <w:lang w:eastAsia="zh-CN"/>
          </w:rPr>
          <m:t>H</m:t>
        </m:r>
      </m:oMath>
      <w:r w:rsidRPr="002D0D7C">
        <w:rPr>
          <w:lang w:eastAsia="zh-CN"/>
        </w:rPr>
        <w:t xml:space="preserve">by shortening communication paths, while additional connectivity or bandwidth can also </w:t>
      </w:r>
      <w:r w:rsidRPr="002D0D7C">
        <w:rPr>
          <w:lang w:eastAsia="zh-CN"/>
        </w:rPr>
        <w:t xml:space="preserve">relieve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Regular mesh and torus networks expose different trade-offs between network diameter and implementation cost (NoC Topology Analysis), whereas high-radix structures such as the flattened butterfly reduce hop count through richer connectivity (Flattened Butterfly). Hierarchical networks provide another approach by keeping local communication on shorter paths and provisioning additional capacity toward higher levels, as exemplified by the fat-tree organization in PAICORE (PAICORE). </w:t>
      </w:r>
      <w:r w:rsidRPr="002D0D7C">
        <w:rPr>
          <w:b/>
          <w:bCs/>
          <w:lang w:eastAsia="zh-CN"/>
        </w:rPr>
        <w:t>(b) Routing and traffic optimization:</w:t>
      </w:r>
      <w:r w:rsidRPr="002D0D7C">
        <w:rPr>
          <w:lang w:eastAsia="zh-CN"/>
        </w:rPr>
        <w:t xml:space="preserve"> routing determines the actual paths taken by packets and how traffic is distributed, thereby affecting both </w:t>
      </w:r>
      <m:oMath>
        <m:r>
          <w:rPr>
            <w:rFonts w:ascii="Cambria Math" w:hAnsi="Cambria Math"/>
            <w:lang w:eastAsia="zh-CN"/>
          </w:rPr>
          <m:t>H</m:t>
        </m:r>
      </m:oMath>
      <w:r w:rsidRPr="002D0D7C">
        <w:rPr>
          <w:lang w:eastAsia="zh-CN"/>
        </w:rPr>
        <w:t xml:space="preserve">and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Adaptive routing can steer packets away from congested regions (Carpool), while hardware multicast allows multiple destinations to share common path segments instead of repeatedly transmitting the same information (VCTM). </w:t>
      </w:r>
      <w:r w:rsidRPr="002D0D7C">
        <w:rPr>
          <w:b/>
          <w:bCs/>
          <w:lang w:eastAsia="zh-CN"/>
        </w:rPr>
        <w:t>(c) Router microarchitecture optimization:</w:t>
      </w:r>
      <w:r w:rsidRPr="002D0D7C">
        <w:rPr>
          <w:lang w:eastAsia="zh-CN"/>
        </w:rPr>
        <w:t xml:space="preserve"> router design primarily targets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oMath>
      <w:r w:rsidRPr="002D0D7C">
        <w:rPr>
          <w:lang w:eastAsia="zh-CN"/>
        </w:rPr>
        <w:t xml:space="preserve">and the local contribution to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while wider or parallel datapaths can increase </w:t>
      </w:r>
      <m:oMath>
        <m:r>
          <w:rPr>
            <w:rFonts w:ascii="Cambria Math" w:hAnsi="Cambria Math"/>
            <w:lang w:eastAsia="zh-CN"/>
          </w:rPr>
          <m:t>b</m:t>
        </m:r>
      </m:oMath>
      <w:r w:rsidRPr="002D0D7C">
        <w:rPr>
          <w:lang w:eastAsia="zh-CN"/>
        </w:rPr>
        <w:t>. FlooNoC increases communication bandwidth through wide and parallel channels (FlooNoC); specialized routers can optimize multicast and aggregation traffic (MONET); and fully asynchronous implementations can reduce forwarding latency without conventional clocked pipelines (Reusable DATE’26).</w:t>
      </w:r>
    </w:p>
    <w:p w14:paraId="5AF7D8CB" w14:textId="6BA6C679" w:rsidR="002D0D7C" w:rsidRPr="002D0D7C" w:rsidRDefault="002D0D7C" w:rsidP="002D0D7C">
      <w:pPr>
        <w:pStyle w:val="a3"/>
        <w:rPr>
          <w:lang w:eastAsia="zh-CN"/>
        </w:rPr>
      </w:pPr>
      <w:r w:rsidRPr="002D0D7C">
        <w:rPr>
          <w:lang w:eastAsia="zh-CN"/>
        </w:rPr>
        <w:t xml:space="preserve">However, network scale and communication fanout couple the terms in (1), making isolated optimization increasingly insufficient. As the network grows, communication over larger distances tends to increase </w:t>
      </w:r>
      <m:oMath>
        <m:r>
          <w:rPr>
            <w:rFonts w:ascii="Cambria Math" w:hAnsi="Cambria Math"/>
            <w:lang w:eastAsia="zh-CN"/>
          </w:rPr>
          <m:t>H</m:t>
        </m:r>
      </m:oMath>
      <w:r w:rsidRPr="002D0D7C">
        <w:rPr>
          <w:lang w:eastAsia="zh-CN"/>
        </w:rPr>
        <w:t xml:space="preserve">, exposing each packet to more routers and links. High-fanout communication further increases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when implemented as repeated point-to-point transfers, since multiple copies compete for injection bandwidth and repeatedly occupy shared paths. Hierarchical organizations can reduce </w:t>
      </w:r>
      <m:oMath>
        <m:r>
          <w:rPr>
            <w:rFonts w:ascii="Cambria Math" w:hAnsi="Cambria Math"/>
            <w:lang w:eastAsia="zh-CN"/>
          </w:rPr>
          <m:t>H</m:t>
        </m:r>
      </m:oMath>
      <w:r w:rsidRPr="002D0D7C">
        <w:rPr>
          <w:lang w:eastAsia="zh-CN"/>
        </w:rPr>
        <w:t xml:space="preserve">by keeping nearby communication local, but the resulting traffic convergence may instead increase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at upper-level aggregation points when their service capacity is insufficient. Increasing router or link capacity can reduce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oMath>
      <w:r w:rsidRPr="002D0D7C">
        <w:rPr>
          <w:lang w:eastAsia="zh-CN"/>
        </w:rPr>
        <w:t xml:space="preserve">,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or serialization overhead, but incurs additional hardware cost and does not eliminate redundant traffic or unnecessarily long routes. Improving large-scale high-fanout NoC performance therefore requires coordinated optimization of topology, communication mechanisms, and router microarchitecture rather than minimizing any single term in isolation.</w:t>
      </w:r>
    </w:p>
    <w:p w14:paraId="7144DC3A" w14:textId="77777777" w:rsidR="002D0D7C" w:rsidRPr="002D0D7C" w:rsidRDefault="002D0D7C" w:rsidP="002D0D7C">
      <w:pPr>
        <w:pStyle w:val="a3"/>
        <w:rPr>
          <w:lang w:eastAsia="zh-CN"/>
        </w:rPr>
      </w:pPr>
      <w:r w:rsidRPr="002D0D7C">
        <w:rPr>
          <w:lang w:eastAsia="zh-CN"/>
        </w:rPr>
        <w:t>Guided by this cross-layer view, we propose a fully asynchronous hierarchical NoC that jointly addresses the performance factors in (1). The main contributions of this work are summarized as follows:</w:t>
      </w:r>
    </w:p>
    <w:p w14:paraId="79C1A044" w14:textId="77777777" w:rsidR="002D0D7C" w:rsidRPr="002D0D7C" w:rsidRDefault="002D0D7C" w:rsidP="002D0D7C">
      <w:pPr>
        <w:pStyle w:val="a3"/>
        <w:rPr>
          <w:lang w:eastAsia="zh-CN"/>
        </w:rPr>
      </w:pPr>
      <w:r w:rsidRPr="002D0D7C">
        <w:rPr>
          <w:lang w:eastAsia="zh-CN"/>
        </w:rPr>
        <w:t xml:space="preserve">• </w:t>
      </w:r>
      <w:r w:rsidRPr="002D0D7C">
        <w:rPr>
          <w:b/>
          <w:bCs/>
          <w:lang w:eastAsia="zh-CN"/>
        </w:rPr>
        <w:t>A hierarchical network organization for scale-out:</w:t>
      </w:r>
      <w:r w:rsidRPr="002D0D7C">
        <w:rPr>
          <w:lang w:eastAsia="zh-CN"/>
        </w:rPr>
        <w:t xml:space="preserve"> PEs are organized into fixed-depth local trees connected by an upper on-chip mesh. Local communication remains within small tree clusters, while larger systems are formed by adding </w:t>
      </w:r>
      <w:r w:rsidRPr="002D0D7C">
        <w:rPr>
          <w:lang w:eastAsia="zh-CN"/>
        </w:rPr>
        <w:lastRenderedPageBreak/>
        <w:t>clusters to the mesh, limiting hop-count growth while reducing the amount of traffic exposed to the global network.</w:t>
      </w:r>
    </w:p>
    <w:p w14:paraId="142E5302" w14:textId="77777777" w:rsidR="002D0D7C" w:rsidRPr="002D0D7C" w:rsidRDefault="002D0D7C" w:rsidP="002D0D7C">
      <w:pPr>
        <w:pStyle w:val="a3"/>
        <w:rPr>
          <w:lang w:eastAsia="zh-CN"/>
        </w:rPr>
      </w:pPr>
      <w:r w:rsidRPr="002D0D7C">
        <w:rPr>
          <w:lang w:eastAsia="zh-CN"/>
        </w:rPr>
        <w:t xml:space="preserve">• </w:t>
      </w:r>
      <w:r w:rsidRPr="002D0D7C">
        <w:rPr>
          <w:b/>
          <w:bCs/>
          <w:lang w:eastAsia="zh-CN"/>
        </w:rPr>
        <w:t>Multicast routing across local trees and the upper mesh:</w:t>
      </w:r>
      <w:r w:rsidRPr="002D0D7C">
        <w:rPr>
          <w:lang w:eastAsia="zh-CN"/>
        </w:rPr>
        <w:t xml:space="preserve"> A multicast transaction initiated by a single source injection remains multicast as it traverses both parts of the network. This avoids converting communication into separate point-to-point transmissions at the hierarchy boundary, reducing redundant traffic and its contribution to contention.</w:t>
      </w:r>
    </w:p>
    <w:p w14:paraId="4A6D5872" w14:textId="6959B45D" w:rsidR="002D0D7C" w:rsidRPr="00470023" w:rsidRDefault="002D0D7C" w:rsidP="00470023">
      <w:pPr>
        <w:pStyle w:val="a3"/>
        <w:rPr>
          <w:rFonts w:hint="eastAsia"/>
          <w:lang w:eastAsia="zh-CN"/>
        </w:rPr>
      </w:pPr>
      <w:r w:rsidRPr="002D0D7C">
        <w:rPr>
          <w:lang w:eastAsia="zh-CN"/>
        </w:rPr>
        <w:t xml:space="preserve">• </w:t>
      </w:r>
      <w:r w:rsidRPr="002D0D7C">
        <w:rPr>
          <w:b/>
          <w:bCs/>
          <w:lang w:eastAsia="zh-CN"/>
        </w:rPr>
        <w:t>Fully asynchronous control of multiple physical lanes:</w:t>
      </w:r>
      <w:r w:rsidRPr="002D0D7C">
        <w:rPr>
          <w:lang w:eastAsia="zh-CN"/>
        </w:rPr>
        <w:t xml:space="preserve"> Selected parts of the hierarchy use multiple physical lanes to increase service capacity where traffic converges. Each multicast branch is assigned to an available lane until the packet completes, while the control logic preserves the request and acknowledgment state of the two-phase handshake, reducing local forwarding and contention delays without relying on local clocks.</w:t>
      </w:r>
    </w:p>
    <w:p w14:paraId="29384D66" w14:textId="63AB74EB" w:rsidR="009303D9" w:rsidRDefault="00791B26" w:rsidP="006B6B66">
      <w:pPr>
        <w:pStyle w:val="1"/>
        <w:rPr>
          <w:lang w:eastAsia="zh-CN"/>
        </w:rPr>
      </w:pPr>
      <w:r>
        <w:rPr>
          <w:rFonts w:hint="eastAsia"/>
          <w:lang w:eastAsia="zh-CN"/>
        </w:rPr>
        <w:t>Backgroud &amp; Motivation</w:t>
      </w:r>
    </w:p>
    <w:p w14:paraId="7FD6D66E" w14:textId="6FED410E" w:rsidR="00470023" w:rsidRDefault="00470023" w:rsidP="00470023">
      <w:pPr>
        <w:pStyle w:val="2"/>
      </w:pPr>
      <w:r w:rsidRPr="00470023">
        <w:t>Communication in Large-Scale Neuromorphic Systems</w:t>
      </w:r>
    </w:p>
    <w:p w14:paraId="2B2D8FF0" w14:textId="77777777" w:rsidR="00470023" w:rsidRDefault="00470023" w:rsidP="00791B26">
      <w:pPr>
        <w:pStyle w:val="a3"/>
        <w:rPr>
          <w:lang w:val="en-US" w:eastAsia="zh-CN"/>
        </w:rPr>
      </w:pPr>
      <w:r w:rsidRPr="00470023">
        <w:rPr>
          <w:lang w:val="en-US" w:eastAsia="zh-CN"/>
        </w:rPr>
        <w:t>Neuromorphic processors distribute neurons and synapses across many processing cores, while the logical connections between neurons are realized through the communication fabric. A widely adopted model is Address-Event Representation (AER), in which a neuron generates an event when it fires and the corresponding address is delivered to its destination cores (DYNAPs). This communication differs from conventional point-to-point traffic in several important ways. Neural connectivity can exhibit very large fanout, so one source event may need to reach many destinations (Multicast Tree Router). Event activity is typically sparse and data-driven, yet each event can trigger multiple network transfers because of this one-to-many connectivity (HBS). Moreover, neural networks exhibit strong communication locality together with less frequent long-range connections, requiring efficient communication both within nearby groups and across the larger system (DYNAPs).</w:t>
      </w:r>
    </w:p>
    <w:p w14:paraId="405653BC" w14:textId="30BB04EF" w:rsidR="00C21520" w:rsidRPr="00C21520" w:rsidRDefault="00470023" w:rsidP="00F611AE">
      <w:pPr>
        <w:pStyle w:val="a3"/>
        <w:ind w:firstLine="0pt"/>
        <w:rPr>
          <w:lang w:val="en-US" w:eastAsia="zh-CN"/>
        </w:rPr>
      </w:pPr>
      <w:r>
        <w:rPr>
          <w:lang w:val="en-US" w:eastAsia="zh-CN"/>
        </w:rPr>
        <w:tab/>
      </w:r>
      <w:r w:rsidRPr="00470023">
        <w:rPr>
          <w:lang w:val="en-US" w:eastAsia="zh-CN"/>
        </w:rPr>
        <w:t xml:space="preserve">As the system grows, these characteristics place several simultaneous demands on the NoC. Longer-distance communication increases the routing work required to reach remote destinations, while high fanout increases the amount of traffic injected into and carried by the network. Traffic from multiple sources can also converge on shared routers and links, making local service capacity increasingly important. Accordingly, bandwidth, latency, and routing-resource requirements have been identified as major scalability concerns in large neuromorphic systems (DYNAPs), while multicast addressing and routing metadata also contribute to communication energy and storage overhead (HBS). The event-driven nature of these systems further makes asynchronous communication a natural implementation choice, since transfers can proceed through local handshakes without a global network clock (Asynchronous Design; Reusable DATE’26). Large-scale neuromorphic </w:t>
      </w:r>
      <w:proofErr w:type="spellStart"/>
      <w:r w:rsidRPr="00470023">
        <w:rPr>
          <w:lang w:val="en-US" w:eastAsia="zh-CN"/>
        </w:rPr>
        <w:t>NoCs</w:t>
      </w:r>
      <w:proofErr w:type="spellEnd"/>
      <w:r w:rsidRPr="00470023">
        <w:rPr>
          <w:lang w:val="en-US" w:eastAsia="zh-CN"/>
        </w:rPr>
        <w:t xml:space="preserve"> therefore face concurrent pressure from communication distance, traffic volume, and local service demand, which have motivated optimization at multiple levels of the network.</w:t>
      </w:r>
      <w:r w:rsidR="00791B26">
        <w:rPr>
          <w:lang w:val="en-US" w:eastAsia="zh-CN"/>
        </w:rPr>
        <w:tab/>
      </w:r>
      <w:r w:rsidR="00C21520">
        <w:rPr>
          <w:rFonts w:hint="eastAsia"/>
          <w:lang w:val="en-US" w:eastAsia="zh-CN"/>
        </w:rPr>
        <w:t>PICTURE: Two phase and four phase</w:t>
      </w:r>
      <w:r w:rsidR="00791B26">
        <w:rPr>
          <w:rFonts w:hint="eastAsia"/>
          <w:lang w:val="en-US" w:eastAsia="zh-CN"/>
        </w:rPr>
        <w:t xml:space="preserve"> protocol</w:t>
      </w:r>
    </w:p>
    <w:p w14:paraId="083FDF1E" w14:textId="59CB3DD5" w:rsidR="00E21B6C" w:rsidRDefault="00B16AED" w:rsidP="00E21B6C">
      <w:pPr>
        <w:pStyle w:val="2"/>
        <w:rPr>
          <w:lang w:eastAsia="zh-CN"/>
        </w:rPr>
      </w:pPr>
      <w:r>
        <w:rPr>
          <w:rFonts w:hint="eastAsia"/>
          <w:lang w:eastAsia="zh-CN"/>
        </w:rPr>
        <w:t>Scale-out NoC Architectures</w:t>
      </w:r>
    </w:p>
    <w:p w14:paraId="34020332" w14:textId="6A18FDB2" w:rsidR="00255F5E" w:rsidRPr="00255F5E" w:rsidRDefault="00255F5E" w:rsidP="00255F5E">
      <w:pPr>
        <w:ind w:firstLine="14.40pt"/>
        <w:jc w:val="both"/>
        <w:rPr>
          <w:lang w:eastAsia="zh-CN"/>
        </w:rPr>
      </w:pPr>
      <w:r w:rsidRPr="00255F5E">
        <w:rPr>
          <w:lang w:eastAsia="zh-CN"/>
        </w:rPr>
        <w:t xml:space="preserve">Prior work has attacked the NoC performance problem at several abstraction levels. At the network level, topology determines how far packets travel and where traffic tends to accumulate. Routing then decides how the available paths are used, while multicast can reduce duplicated communication </w:t>
      </w:r>
      <w:r w:rsidRPr="00255F5E">
        <w:rPr>
          <w:lang w:eastAsia="zh-CN"/>
        </w:rPr>
        <w:t>for one-to-many traffic. At the router level, microarchitecture determines how quickly each hop can accept and forward packets. These optimizations address different sources of communication cost, but their effects become increasingly coupled as the network grows.</w:t>
      </w:r>
    </w:p>
    <w:p w14:paraId="4C41584D" w14:textId="77777777" w:rsidR="00255F5E" w:rsidRPr="00255F5E" w:rsidRDefault="00255F5E" w:rsidP="00255F5E">
      <w:pPr>
        <w:ind w:firstLine="14.40pt"/>
        <w:jc w:val="both"/>
        <w:rPr>
          <w:lang w:eastAsia="zh-CN"/>
        </w:rPr>
      </w:pPr>
      <w:r w:rsidRPr="00255F5E">
        <w:rPr>
          <w:b/>
          <w:bCs/>
          <w:lang w:eastAsia="zh-CN"/>
        </w:rPr>
        <w:t>First, topology optimization aims to reduce costly router traversals while avoiding severe traffic concentration.</w:t>
      </w:r>
      <w:r w:rsidRPr="00255F5E">
        <w:rPr>
          <w:lang w:eastAsia="zh-CN"/>
        </w:rPr>
        <w:t xml:space="preserve"> Regular 2-D meshes are attractive because they are simple and modular, but their diameter grows with network size. Prior work has therefore explored higher-connectivity and hierarchical organizations to shorten long routes or keep local traffic away from the global network (Flattened Butterfly; DYNAPs; Hierarchical Mesh-of-Trees). Fat-tree structures further add bandwidth near aggregation points to alleviate convergence (PAICORE). Such changes can reduce path cost, but they also introduce additional links, larger routers, or heavier traffic concentration at upper levels. In this sense, topology optimization often relocates the bottleneck rather than removing it.</w:t>
      </w:r>
    </w:p>
    <w:p w14:paraId="01E5523A" w14:textId="77777777" w:rsidR="00255F5E" w:rsidRPr="00255F5E" w:rsidRDefault="00255F5E" w:rsidP="00255F5E">
      <w:pPr>
        <w:ind w:firstLine="14.40pt"/>
        <w:jc w:val="both"/>
        <w:rPr>
          <w:lang w:eastAsia="zh-CN"/>
        </w:rPr>
      </w:pPr>
      <w:r w:rsidRPr="00255F5E">
        <w:rPr>
          <w:b/>
          <w:bCs/>
          <w:lang w:eastAsia="zh-CN"/>
        </w:rPr>
        <w:t>Second, routing and multicast improve performance by using the available network resources more efficiently.</w:t>
      </w:r>
      <w:r w:rsidRPr="00255F5E">
        <w:rPr>
          <w:lang w:eastAsia="zh-CN"/>
        </w:rPr>
        <w:t xml:space="preserve"> Adaptive routing can steer packets away from congested regions, whereas hardware multicast is especially useful for high-fanout traffic because it avoids repeatedly injecting the same information for different destinations. Tree-based replication and recursive partitioning allow a packet to be copied only where delivery paths diverge, while compact destination representations reduce the routing information carried by multicast packets (VCTM; Multicast Tree Router; CMR; HBS). These techniques can substantially reduce redundant traffic, but lower traffic volume alone does not guarantee low latency when packets still follow long routes or converge at busy routers.</w:t>
      </w:r>
    </w:p>
    <w:p w14:paraId="55901CC9" w14:textId="77777777" w:rsidR="00255F5E" w:rsidRPr="00255F5E" w:rsidRDefault="00255F5E" w:rsidP="00255F5E">
      <w:pPr>
        <w:ind w:firstLine="14.40pt"/>
        <w:jc w:val="both"/>
        <w:rPr>
          <w:lang w:eastAsia="zh-CN"/>
        </w:rPr>
      </w:pPr>
      <w:r w:rsidRPr="00255F5E">
        <w:rPr>
          <w:b/>
          <w:bCs/>
          <w:lang w:eastAsia="zh-CN"/>
        </w:rPr>
        <w:t>Finally, router design determines the cost of each hop and the rate at which local traffic can be served.</w:t>
      </w:r>
      <w:r w:rsidRPr="00255F5E">
        <w:rPr>
          <w:lang w:eastAsia="zh-CN"/>
        </w:rPr>
        <w:t xml:space="preserve"> Previous work has reduced forwarding latency through more efficient buffering, arbitration, bypassing, and parallel </w:t>
      </w:r>
      <w:proofErr w:type="spellStart"/>
      <w:r w:rsidRPr="00255F5E">
        <w:rPr>
          <w:lang w:eastAsia="zh-CN"/>
        </w:rPr>
        <w:t>datapaths</w:t>
      </w:r>
      <w:proofErr w:type="spellEnd"/>
      <w:r w:rsidRPr="00255F5E">
        <w:rPr>
          <w:lang w:eastAsia="zh-CN"/>
        </w:rPr>
        <w:t xml:space="preserve"> (SMART; STORM). Asynchronous routers approach the same problem from the implementation side: local handshakes remove the need for a network-wide clock, while two-phase signaling avoids the return-to-zero phase of conventional four-phase communication (Transition DATE'13; 14-nm Asynchronous Router; Reusable DATE'26). This can reduce per-hop latency and energy, but higher local parallelism also increases area, arbitration complexity, and control overhead. In particular, dynamically selecting among multiple physical resources is more involved in a two-phase design because the request and acknowledgment phases form part of the communication state.</w:t>
      </w:r>
    </w:p>
    <w:p w14:paraId="14AD4130" w14:textId="77777777" w:rsidR="00255F5E" w:rsidRPr="00255F5E" w:rsidRDefault="00255F5E" w:rsidP="00255F5E">
      <w:pPr>
        <w:ind w:firstLine="14.40pt"/>
        <w:jc w:val="both"/>
        <w:rPr>
          <w:lang w:eastAsia="zh-CN"/>
        </w:rPr>
      </w:pPr>
      <w:r w:rsidRPr="00255F5E">
        <w:rPr>
          <w:lang w:eastAsia="zh-CN"/>
        </w:rPr>
        <w:t>Taken together, these studies show that path length, network traffic, and router service capacity can each be improved independently. The difficulty at large scale is that optimizing one of them can expose another as the new bottleneck.</w:t>
      </w:r>
    </w:p>
    <w:p w14:paraId="0B12315E" w14:textId="55AA83B6" w:rsidR="00E21B6C" w:rsidRDefault="00E21B6C" w:rsidP="00255F5E">
      <w:pPr>
        <w:ind w:firstLine="14.40pt"/>
        <w:jc w:val="both"/>
        <w:rPr>
          <w:lang w:eastAsia="zh-CN"/>
        </w:rPr>
      </w:pPr>
    </w:p>
    <w:p w14:paraId="5C374E59" w14:textId="77777777" w:rsidR="00255F5E" w:rsidRPr="00E21B6C" w:rsidRDefault="00255F5E" w:rsidP="00255F5E">
      <w:pPr>
        <w:ind w:firstLine="14.40pt"/>
        <w:jc w:val="both"/>
        <w:rPr>
          <w:rFonts w:hint="eastAsia"/>
          <w:lang w:eastAsia="zh-CN"/>
        </w:rPr>
      </w:pPr>
    </w:p>
    <w:p w14:paraId="0BFB4C48" w14:textId="6C52A5CB" w:rsidR="00770F52" w:rsidRDefault="00770F52" w:rsidP="00770F52">
      <w:pPr>
        <w:pStyle w:val="2"/>
        <w:rPr>
          <w:lang w:eastAsia="zh-CN"/>
        </w:rPr>
      </w:pPr>
      <w:r>
        <w:rPr>
          <w:rFonts w:hint="eastAsia"/>
          <w:lang w:eastAsia="zh-CN"/>
        </w:rPr>
        <w:t>Design Motivation</w:t>
      </w:r>
    </w:p>
    <w:p w14:paraId="43D53513" w14:textId="27A72B83" w:rsidR="00791B26" w:rsidRDefault="00791B26" w:rsidP="00505425">
      <w:pPr>
        <w:ind w:firstLine="14.40pt"/>
        <w:jc w:val="both"/>
        <w:rPr>
          <w:lang w:eastAsia="zh-CN"/>
        </w:rPr>
      </w:pPr>
      <w:r w:rsidRPr="00791B26">
        <w:rPr>
          <w:lang w:eastAsia="zh-CN"/>
        </w:rPr>
        <w:t xml:space="preserve">These observations motivate three design objectives. First, </w:t>
      </w:r>
      <w:r w:rsidRPr="00791B26">
        <w:rPr>
          <w:highlight w:val="yellow"/>
          <w:lang w:eastAsia="zh-CN"/>
        </w:rPr>
        <w:t>multicast communication should span both local trees and an upper on-chip mesh without being replaced by separate unicast packets for individual clusters.</w:t>
      </w:r>
      <w:r w:rsidRPr="00791B26">
        <w:rPr>
          <w:lang w:eastAsia="zh-CN"/>
        </w:rPr>
        <w:t xml:space="preserve"> The two parts of the </w:t>
      </w:r>
      <w:r w:rsidRPr="00791B26">
        <w:rPr>
          <w:lang w:eastAsia="zh-CN"/>
        </w:rPr>
        <w:lastRenderedPageBreak/>
        <w:t xml:space="preserve">network should operate on the same destination description while applying routing rules suited to their respective topologies. Second, </w:t>
      </w:r>
      <w:r w:rsidRPr="00791B26">
        <w:rPr>
          <w:highlight w:val="yellow"/>
          <w:lang w:eastAsia="zh-CN"/>
        </w:rPr>
        <w:t>multiple physical lanes should be controlled entirely asynchronously</w:t>
      </w:r>
      <w:r w:rsidRPr="00791B26">
        <w:rPr>
          <w:lang w:eastAsia="zh-CN"/>
        </w:rPr>
        <w:t>: each multicast branch should remain assigned to one physical lane until the packet completes, while the correct two-phase handshake state is maintained during lane selection and arbitration. Third</w:t>
      </w:r>
      <w:r w:rsidRPr="00791B26">
        <w:rPr>
          <w:highlight w:val="yellow"/>
          <w:lang w:eastAsia="zh-CN"/>
        </w:rPr>
        <w:t>, system scale-out should be achieved by organizing PEs into local trees with a fixed number of levels and connecting these trees through an on-chip 2-D mesh</w:t>
      </w:r>
      <w:r w:rsidRPr="00791B26">
        <w:rPr>
          <w:lang w:eastAsia="zh-CN"/>
        </w:rPr>
        <w:t>. A limited number of parallel physical lanes can provide additional bandwidth inside each tree without requiring the number of lanes to continue increasing toward the upper levels. Section III presents the architecture and routing mechanisms that realize these objectives.</w:t>
      </w:r>
    </w:p>
    <w:p w14:paraId="3199050B" w14:textId="77777777" w:rsidR="00255F5E" w:rsidRPr="00B16AED" w:rsidRDefault="00255F5E" w:rsidP="00505425">
      <w:pPr>
        <w:ind w:firstLine="14.40pt"/>
        <w:jc w:val="both"/>
        <w:rPr>
          <w:lang w:eastAsia="zh-CN"/>
        </w:rPr>
      </w:pPr>
    </w:p>
    <w:p w14:paraId="17444ED6" w14:textId="77777777" w:rsidR="009303D9" w:rsidRDefault="009303D9" w:rsidP="006B6B66">
      <w:pPr>
        <w:pStyle w:val="1"/>
      </w:pPr>
      <w:r>
        <w:t xml:space="preserve">Prepare Your Paper </w:t>
      </w:r>
      <w:r w:rsidRPr="005B520E">
        <w:t>Before</w:t>
      </w:r>
      <w:r>
        <w:t xml:space="preserve"> Styling</w:t>
      </w:r>
    </w:p>
    <w:p w14:paraId="3291269C"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582F15D"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B72233A" w14:textId="77777777" w:rsidR="009303D9" w:rsidRDefault="009303D9" w:rsidP="00ED0149">
      <w:pPr>
        <w:pStyle w:val="2"/>
      </w:pPr>
      <w:r w:rsidRPr="00ED0149">
        <w:t>Abbreviations</w:t>
      </w:r>
      <w:r>
        <w:t xml:space="preserve"> and Acronyms</w:t>
      </w:r>
    </w:p>
    <w:p w14:paraId="34BE2284"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7D3EEF80" w14:textId="77777777" w:rsidR="009303D9" w:rsidRDefault="009303D9" w:rsidP="00ED0149">
      <w:pPr>
        <w:pStyle w:val="2"/>
      </w:pPr>
      <w:r>
        <w:t>Units</w:t>
      </w:r>
    </w:p>
    <w:p w14:paraId="727701A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5A864857"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6C921D20" w14:textId="77777777" w:rsidR="009303D9" w:rsidRPr="005B520E" w:rsidRDefault="009303D9" w:rsidP="00E7596C">
      <w:pPr>
        <w:pStyle w:val="bulletlist"/>
      </w:pPr>
      <w:r w:rsidRPr="005B520E">
        <w:t xml:space="preserve">Do not mix complete spellings and abbreviations of units: “Wb/m2” or “webers per square meter”, not “webers/m2”.  Spell out units when they appear in text: “. . . a few </w:t>
      </w:r>
      <w:proofErr w:type="spellStart"/>
      <w:r w:rsidRPr="005B520E">
        <w:t>henries</w:t>
      </w:r>
      <w:proofErr w:type="spellEnd"/>
      <w:r w:rsidRPr="005B520E">
        <w:t>”, not “. . . a few H”.</w:t>
      </w:r>
    </w:p>
    <w:p w14:paraId="3C744791"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EA51BA"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5F4E346B" w14:textId="77777777" w:rsidR="009303D9" w:rsidRPr="005B520E" w:rsidRDefault="009303D9" w:rsidP="00ED0149">
      <w:pPr>
        <w:pStyle w:val="2"/>
      </w:pPr>
      <w:r w:rsidRPr="005B520E">
        <w:t>Equations</w:t>
      </w:r>
    </w:p>
    <w:p w14:paraId="563DE3A2" w14:textId="77777777" w:rsidR="009303D9" w:rsidRPr="005B520E" w:rsidRDefault="009303D9" w:rsidP="00E7596C">
      <w:pPr>
        <w:pStyle w:val="a3"/>
      </w:pPr>
      <w:r w:rsidRPr="005B520E">
        <w:t xml:space="preserve">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w:t>
      </w:r>
      <w:r w:rsidRPr="005B520E">
        <w:t>the equation as a graphic and insert it into the text after your paper is styled.</w:t>
      </w:r>
    </w:p>
    <w:p w14:paraId="1F5293DF"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3DFF9992"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1B33B6D"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23FB7FB8" w14:textId="77777777" w:rsidR="009303D9" w:rsidRDefault="009303D9" w:rsidP="00ED0149">
      <w:pPr>
        <w:pStyle w:val="2"/>
      </w:pPr>
      <w:r>
        <w:t>Some Common Mistakes</w:t>
      </w:r>
    </w:p>
    <w:p w14:paraId="025F7563" w14:textId="77777777" w:rsidR="009303D9" w:rsidRPr="005B520E" w:rsidRDefault="009303D9" w:rsidP="00E7596C">
      <w:pPr>
        <w:pStyle w:val="bulletlist"/>
      </w:pPr>
      <w:r w:rsidRPr="005B520E">
        <w:t>The word “data” is plural, not singular.</w:t>
      </w:r>
    </w:p>
    <w:p w14:paraId="23270BA4"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2BF660A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5E6E1DA"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2573335A" w14:textId="77777777" w:rsidR="009303D9" w:rsidRPr="005B520E" w:rsidRDefault="009303D9" w:rsidP="00E7596C">
      <w:pPr>
        <w:pStyle w:val="bulletlist"/>
      </w:pPr>
      <w:r w:rsidRPr="005B520E">
        <w:t>Do not use the word “essentially” to mean “approximately” or “effectively”.</w:t>
      </w:r>
    </w:p>
    <w:p w14:paraId="4F85BE4A"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58E1F85E"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70022608" w14:textId="77777777" w:rsidR="009303D9" w:rsidRPr="005B520E" w:rsidRDefault="009303D9" w:rsidP="00E7596C">
      <w:pPr>
        <w:pStyle w:val="bulletlist"/>
      </w:pPr>
      <w:r w:rsidRPr="005B520E">
        <w:t>Do not confuse “imply” and “infer”.</w:t>
      </w:r>
    </w:p>
    <w:p w14:paraId="1D79F2BA" w14:textId="77777777" w:rsidR="009303D9" w:rsidRPr="005B520E" w:rsidRDefault="009303D9" w:rsidP="00E7596C">
      <w:pPr>
        <w:pStyle w:val="bulletlist"/>
      </w:pPr>
      <w:r w:rsidRPr="005B520E">
        <w:t>The prefix “non” is not a word; it should be joined to the word it modifies, usually without a hyphen.</w:t>
      </w:r>
    </w:p>
    <w:p w14:paraId="6A6179BF" w14:textId="77777777" w:rsidR="009303D9" w:rsidRPr="005B520E" w:rsidRDefault="009303D9" w:rsidP="00E7596C">
      <w:pPr>
        <w:pStyle w:val="bulletlist"/>
      </w:pPr>
      <w:r w:rsidRPr="005B520E">
        <w:t>There is no period after the “et” in the Latin abbreviation “et al.”.</w:t>
      </w:r>
    </w:p>
    <w:p w14:paraId="38888CB9" w14:textId="77777777" w:rsidR="009303D9" w:rsidRPr="005B520E" w:rsidRDefault="009303D9" w:rsidP="00E7596C">
      <w:pPr>
        <w:pStyle w:val="bulletlist"/>
      </w:pPr>
      <w:r w:rsidRPr="005B520E">
        <w:t>The abbreviation “i.e.” means “that is”, and the abbreviation “e.g.” means “for example”.</w:t>
      </w:r>
    </w:p>
    <w:p w14:paraId="698B641B" w14:textId="77777777" w:rsidR="009303D9" w:rsidRPr="005B520E" w:rsidRDefault="009303D9" w:rsidP="00E7596C">
      <w:pPr>
        <w:pStyle w:val="a3"/>
      </w:pPr>
      <w:r w:rsidRPr="005B520E">
        <w:t>An excellent style manual for science writers is [7].</w:t>
      </w:r>
    </w:p>
    <w:p w14:paraId="238C43EA" w14:textId="77777777" w:rsidR="009303D9" w:rsidRDefault="009303D9" w:rsidP="006B6B66">
      <w:pPr>
        <w:pStyle w:val="1"/>
      </w:pPr>
      <w:r>
        <w:lastRenderedPageBreak/>
        <w:t xml:space="preserve">Using the </w:t>
      </w:r>
      <w:r w:rsidRPr="005B520E">
        <w:t>Template</w:t>
      </w:r>
    </w:p>
    <w:p w14:paraId="57163542"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0A06093C" w14:textId="77777777" w:rsidR="009303D9" w:rsidRDefault="009303D9" w:rsidP="00ED0149">
      <w:pPr>
        <w:pStyle w:val="2"/>
      </w:pPr>
      <w:r w:rsidRPr="005B520E">
        <w:t>Authors</w:t>
      </w:r>
      <w:r>
        <w:t xml:space="preserve"> and Affiliations</w:t>
      </w:r>
    </w:p>
    <w:p w14:paraId="249CF7A0"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34D46AC6"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541109DE"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CB45E9E"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1E9EAC7E"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484C1020"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291377DD" w14:textId="77777777" w:rsidR="006F6D3D" w:rsidRDefault="006F6D3D" w:rsidP="006F6D3D">
      <w:pPr>
        <w:jc w:val="start"/>
        <w:rPr>
          <w:i/>
          <w:iCs/>
          <w:noProof/>
        </w:rPr>
      </w:pPr>
    </w:p>
    <w:p w14:paraId="6AEA23C3" w14:textId="77777777" w:rsidR="009303D9" w:rsidRDefault="009303D9" w:rsidP="00ED0149">
      <w:pPr>
        <w:pStyle w:val="2"/>
      </w:pPr>
      <w:r w:rsidRPr="005B520E">
        <w:t>Identify</w:t>
      </w:r>
      <w:r>
        <w:t xml:space="preserve"> the Headings</w:t>
      </w:r>
    </w:p>
    <w:p w14:paraId="336ADECF"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25F2857D"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63F7E187"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793DF12" w14:textId="77777777" w:rsidR="009303D9" w:rsidRDefault="009303D9" w:rsidP="00ED0149">
      <w:pPr>
        <w:pStyle w:val="2"/>
      </w:pPr>
      <w:r>
        <w:t>Figures and Tables</w:t>
      </w:r>
    </w:p>
    <w:p w14:paraId="3EE18603" w14:textId="77777777" w:rsidR="009303D9" w:rsidRDefault="0004781E" w:rsidP="00FA4C32">
      <w:pPr>
        <w:pStyle w:val="4"/>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Large figures and tables may span across both columns. Figure captions should be below the figures; table heads should appear above the tables. Insert </w:t>
      </w:r>
      <w:r w:rsidR="009303D9" w:rsidRPr="00FA4C32">
        <w:rPr>
          <w:i w:val="0"/>
        </w:rPr>
        <w:t>figures and tables after they are cited in the text. Use the abbreviation “Fig. 1”, even at the beginning of a sentence.</w:t>
      </w:r>
    </w:p>
    <w:p w14:paraId="6CDEFE13"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2F413AC4" w14:textId="77777777">
        <w:trPr>
          <w:cantSplit/>
          <w:trHeight w:val="240"/>
          <w:tblHeader/>
          <w:jc w:val="center"/>
        </w:trPr>
        <w:tc>
          <w:tcPr>
            <w:tcW w:w="36pt" w:type="dxa"/>
            <w:vMerge w:val="restart"/>
            <w:vAlign w:val="center"/>
          </w:tcPr>
          <w:p w14:paraId="41C608B4" w14:textId="77777777" w:rsidR="009303D9" w:rsidRDefault="009303D9">
            <w:pPr>
              <w:pStyle w:val="tablecolhead"/>
            </w:pPr>
            <w:r>
              <w:t>Table Head</w:t>
            </w:r>
          </w:p>
        </w:tc>
        <w:tc>
          <w:tcPr>
            <w:tcW w:w="207pt" w:type="dxa"/>
            <w:gridSpan w:val="3"/>
            <w:vAlign w:val="center"/>
          </w:tcPr>
          <w:p w14:paraId="6548A726" w14:textId="77777777" w:rsidR="009303D9" w:rsidRDefault="009303D9">
            <w:pPr>
              <w:pStyle w:val="tablecolhead"/>
            </w:pPr>
            <w:r>
              <w:t>Table Column Head</w:t>
            </w:r>
          </w:p>
        </w:tc>
      </w:tr>
      <w:tr w:rsidR="009303D9" w14:paraId="17FB179E" w14:textId="77777777">
        <w:trPr>
          <w:cantSplit/>
          <w:trHeight w:val="240"/>
          <w:tblHeader/>
          <w:jc w:val="center"/>
        </w:trPr>
        <w:tc>
          <w:tcPr>
            <w:tcW w:w="36pt" w:type="dxa"/>
            <w:vMerge/>
          </w:tcPr>
          <w:p w14:paraId="7478427F" w14:textId="77777777" w:rsidR="009303D9" w:rsidRDefault="009303D9">
            <w:pPr>
              <w:rPr>
                <w:sz w:val="16"/>
                <w:szCs w:val="16"/>
              </w:rPr>
            </w:pPr>
          </w:p>
        </w:tc>
        <w:tc>
          <w:tcPr>
            <w:tcW w:w="117pt" w:type="dxa"/>
            <w:vAlign w:val="center"/>
          </w:tcPr>
          <w:p w14:paraId="449C0569" w14:textId="77777777" w:rsidR="009303D9" w:rsidRDefault="009303D9">
            <w:pPr>
              <w:pStyle w:val="tablecolsubhead"/>
            </w:pPr>
            <w:r>
              <w:t>Table column subhead</w:t>
            </w:r>
          </w:p>
        </w:tc>
        <w:tc>
          <w:tcPr>
            <w:tcW w:w="45pt" w:type="dxa"/>
            <w:vAlign w:val="center"/>
          </w:tcPr>
          <w:p w14:paraId="30886FFA" w14:textId="77777777" w:rsidR="009303D9" w:rsidRDefault="009303D9">
            <w:pPr>
              <w:pStyle w:val="tablecolsubhead"/>
            </w:pPr>
            <w:r>
              <w:t>Subhead</w:t>
            </w:r>
          </w:p>
        </w:tc>
        <w:tc>
          <w:tcPr>
            <w:tcW w:w="45pt" w:type="dxa"/>
            <w:vAlign w:val="center"/>
          </w:tcPr>
          <w:p w14:paraId="7D3C93B2" w14:textId="77777777" w:rsidR="009303D9" w:rsidRDefault="009303D9">
            <w:pPr>
              <w:pStyle w:val="tablecolsubhead"/>
            </w:pPr>
            <w:r>
              <w:t>Subhead</w:t>
            </w:r>
          </w:p>
        </w:tc>
      </w:tr>
      <w:tr w:rsidR="009303D9" w14:paraId="7CE24A37" w14:textId="77777777">
        <w:trPr>
          <w:trHeight w:val="320"/>
          <w:jc w:val="center"/>
        </w:trPr>
        <w:tc>
          <w:tcPr>
            <w:tcW w:w="36pt" w:type="dxa"/>
            <w:vAlign w:val="center"/>
          </w:tcPr>
          <w:p w14:paraId="16C5B6EF" w14:textId="77777777" w:rsidR="009303D9" w:rsidRDefault="009303D9">
            <w:pPr>
              <w:pStyle w:val="tablecopy"/>
              <w:rPr>
                <w:sz w:val="8"/>
                <w:szCs w:val="8"/>
              </w:rPr>
            </w:pPr>
            <w:r>
              <w:t>copy</w:t>
            </w:r>
          </w:p>
        </w:tc>
        <w:tc>
          <w:tcPr>
            <w:tcW w:w="117pt" w:type="dxa"/>
            <w:vAlign w:val="center"/>
          </w:tcPr>
          <w:p w14:paraId="3A079A95" w14:textId="77777777" w:rsidR="009303D9" w:rsidRDefault="009303D9">
            <w:pPr>
              <w:pStyle w:val="tablecopy"/>
            </w:pPr>
            <w:r>
              <w:t>More table copy</w:t>
            </w:r>
            <w:r>
              <w:rPr>
                <w:vertAlign w:val="superscript"/>
              </w:rPr>
              <w:t>a</w:t>
            </w:r>
          </w:p>
        </w:tc>
        <w:tc>
          <w:tcPr>
            <w:tcW w:w="45pt" w:type="dxa"/>
            <w:vAlign w:val="center"/>
          </w:tcPr>
          <w:p w14:paraId="50C222F7" w14:textId="77777777" w:rsidR="009303D9" w:rsidRDefault="009303D9">
            <w:pPr>
              <w:rPr>
                <w:sz w:val="16"/>
                <w:szCs w:val="16"/>
              </w:rPr>
            </w:pPr>
          </w:p>
        </w:tc>
        <w:tc>
          <w:tcPr>
            <w:tcW w:w="45pt" w:type="dxa"/>
            <w:vAlign w:val="center"/>
          </w:tcPr>
          <w:p w14:paraId="42C43998" w14:textId="77777777" w:rsidR="009303D9" w:rsidRDefault="009303D9">
            <w:pPr>
              <w:rPr>
                <w:sz w:val="16"/>
                <w:szCs w:val="16"/>
              </w:rPr>
            </w:pPr>
          </w:p>
        </w:tc>
      </w:tr>
    </w:tbl>
    <w:p w14:paraId="1046238F"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6DCED6ED"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31821DB"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3FD7ADCB" w14:textId="77777777" w:rsidR="0080791D" w:rsidRDefault="0080791D" w:rsidP="0080791D">
      <w:pPr>
        <w:pStyle w:val="5"/>
      </w:pPr>
      <w:r w:rsidRPr="005B520E">
        <w:t>Acknowledgment</w:t>
      </w:r>
      <w:r>
        <w:t xml:space="preserve"> </w:t>
      </w:r>
      <w:r>
        <w:rPr>
          <w:i/>
          <w:iCs/>
        </w:rPr>
        <w:t>(</w:t>
      </w:r>
      <w:r w:rsidRPr="00651A08">
        <w:rPr>
          <w:i/>
          <w:iCs/>
          <w:smallCaps w:val="0"/>
        </w:rPr>
        <w:t>Heading 5</w:t>
      </w:r>
      <w:r>
        <w:rPr>
          <w:i/>
          <w:iCs/>
        </w:rPr>
        <w:t>)</w:t>
      </w:r>
    </w:p>
    <w:p w14:paraId="5033196A" w14:textId="77777777" w:rsidR="00575BCA" w:rsidRDefault="0080791D" w:rsidP="00836367">
      <w:pPr>
        <w:pStyle w:val="a3"/>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5362DB16" w14:textId="77777777" w:rsidR="009303D9" w:rsidRDefault="009303D9" w:rsidP="00A059B3">
      <w:pPr>
        <w:pStyle w:val="5"/>
      </w:pPr>
      <w:r w:rsidRPr="005B520E">
        <w:t>References</w:t>
      </w:r>
    </w:p>
    <w:p w14:paraId="127BC432"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122668A"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0FC494B4"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3896555"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49011A3C" w14:textId="77777777" w:rsidR="009303D9" w:rsidRPr="005B520E" w:rsidRDefault="009303D9"/>
    <w:p w14:paraId="59CBABA5" w14:textId="244991C7" w:rsidR="001E5FF0" w:rsidRPr="001E5FF0" w:rsidRDefault="001E5FF0" w:rsidP="001E5FF0">
      <w:pPr>
        <w:pStyle w:val="references"/>
      </w:pPr>
      <w:r w:rsidRPr="001E5FF0">
        <w:t xml:space="preserve">S. Moradi, N. Qiao, F. Stefanini, and G. Indiveri, “A Scalable Multicore Architecture With Heterogeneous Memory Structures for Dynamic Neuromorphic Asynchronous Processors (DYNAPs),” </w:t>
      </w:r>
      <w:r w:rsidRPr="001E5FF0">
        <w:rPr>
          <w:i/>
          <w:iCs/>
        </w:rPr>
        <w:t>IEEE Transactions on Biomedical Circuits and Systems</w:t>
      </w:r>
      <w:r w:rsidRPr="001E5FF0">
        <w:t>, vol. 12, no. 1, pp. 106–122, Feb. 2018, doi: 10.1109/TBCAS.2017.2759700.</w:t>
      </w:r>
    </w:p>
    <w:p w14:paraId="7584B985" w14:textId="1AAA13B8" w:rsidR="001E5FF0" w:rsidRPr="001E5FF0" w:rsidRDefault="001E5FF0" w:rsidP="001E5FF0">
      <w:pPr>
        <w:pStyle w:val="references"/>
      </w:pPr>
      <w:r w:rsidRPr="001E5FF0">
        <w:t xml:space="preserve">Z. Su, A. Bencsik, G. Indiveri, and D. Bertozzi, “An Efficient Multicast Addressing Encoding Scheme for Multi-Core Neuromorphic Processors,” in </w:t>
      </w:r>
      <w:r w:rsidRPr="001E5FF0">
        <w:rPr>
          <w:i/>
          <w:iCs/>
        </w:rPr>
        <w:t>Proc. IEEE International Symposium on Circuits and Systems (ISCAS)</w:t>
      </w:r>
      <w:r w:rsidRPr="001E5FF0">
        <w:t>, 2025, doi: 10.1109/ISCAS56072.2025.11043591.</w:t>
      </w:r>
    </w:p>
    <w:p w14:paraId="7FCE28AF" w14:textId="7E2A4A91" w:rsidR="001E5FF0" w:rsidRPr="001E5FF0" w:rsidRDefault="001E5FF0" w:rsidP="001E5FF0">
      <w:pPr>
        <w:pStyle w:val="references"/>
      </w:pPr>
      <w:r w:rsidRPr="001E5FF0">
        <w:t xml:space="preserve">P. Merolla, J. Arthur, R. Alvarez-Icaza, J.-M. Bussat, and K. Boahen, “A Multicast Tree Router for Multichip Neuromorphic Systems,” </w:t>
      </w:r>
      <w:r w:rsidRPr="001E5FF0">
        <w:rPr>
          <w:i/>
          <w:iCs/>
        </w:rPr>
        <w:t>IEEE Transactions on Circuits and Systems I: Regular Papers</w:t>
      </w:r>
      <w:r w:rsidRPr="001E5FF0">
        <w:t>, vol. 61, no. 3, pp. 820–833, Mar. 2014, doi: 10.1109/TCSI.2013.2284184.</w:t>
      </w:r>
    </w:p>
    <w:p w14:paraId="22FBCE11" w14:textId="6C40DEAC" w:rsidR="001E5FF0" w:rsidRPr="001E5FF0" w:rsidRDefault="001E5FF0" w:rsidP="001E5FF0">
      <w:pPr>
        <w:pStyle w:val="references"/>
      </w:pPr>
      <w:r w:rsidRPr="001E5FF0">
        <w:lastRenderedPageBreak/>
        <w:t xml:space="preserve"> M. Davies </w:t>
      </w:r>
      <w:r w:rsidRPr="001E5FF0">
        <w:rPr>
          <w:i/>
          <w:iCs/>
        </w:rPr>
        <w:t>et al.</w:t>
      </w:r>
      <w:r w:rsidRPr="001E5FF0">
        <w:t xml:space="preserve">, “Loihi: A Neuromorphic Manycore Processor with On-Chip Learning,” </w:t>
      </w:r>
      <w:r w:rsidRPr="001E5FF0">
        <w:rPr>
          <w:i/>
          <w:iCs/>
        </w:rPr>
        <w:t>IEEE Micro</w:t>
      </w:r>
      <w:r w:rsidRPr="001E5FF0">
        <w:t>, vol. 38, no. 1, pp. 82–99, Jan./Feb. 2018, doi: 10.1109/MM.2018.112130359.</w:t>
      </w:r>
    </w:p>
    <w:p w14:paraId="311D2BD5" w14:textId="3B402200" w:rsidR="001E5FF0" w:rsidRPr="001E5FF0" w:rsidRDefault="001E5FF0" w:rsidP="001E5FF0">
      <w:pPr>
        <w:pStyle w:val="references"/>
      </w:pPr>
      <w:r w:rsidRPr="001E5FF0">
        <w:t xml:space="preserve">N. Enright Jerger, L.-S. Peh, and M. H. Lipasti, “Virtual Circuit Tree Multicasting: A Case for On-Chip Hardware Multicast Support,” in </w:t>
      </w:r>
      <w:r w:rsidRPr="001E5FF0">
        <w:rPr>
          <w:i/>
          <w:iCs/>
        </w:rPr>
        <w:t>Proc. 35th Annual International Symposium on Computer Architecture (ISCA)</w:t>
      </w:r>
      <w:r w:rsidRPr="001E5FF0">
        <w:t>, 2008, pp. 229–240, doi: 10.1109/ISCA.2008.12.</w:t>
      </w:r>
    </w:p>
    <w:p w14:paraId="4727530F" w14:textId="13CB7871" w:rsidR="001E5FF0" w:rsidRPr="001E5FF0" w:rsidRDefault="001E5FF0" w:rsidP="001E5FF0">
      <w:pPr>
        <w:pStyle w:val="references"/>
      </w:pPr>
      <w:r w:rsidRPr="001E5FF0">
        <w:t xml:space="preserve">K. Bhardwaj and S. M. Nowick, “A Continuous-Time Replication Strategy for Efficient Multicast in Asynchronous NoCs,” </w:t>
      </w:r>
      <w:r w:rsidRPr="001E5FF0">
        <w:rPr>
          <w:i/>
          <w:iCs/>
        </w:rPr>
        <w:t>IEEE Transactions on Very Large Scale Integration (VLSI) Systems</w:t>
      </w:r>
      <w:r w:rsidRPr="001E5FF0">
        <w:t>, vol. 27, no. 2, pp. 350–363, Feb. 2019, doi: 10.1109/TVLSI.2018.2876856.</w:t>
      </w:r>
    </w:p>
    <w:p w14:paraId="4AAA47A2" w14:textId="18136B3A" w:rsidR="001E5FF0" w:rsidRPr="001E5FF0" w:rsidRDefault="001E5FF0" w:rsidP="001E5FF0">
      <w:pPr>
        <w:pStyle w:val="references"/>
      </w:pPr>
      <w:r w:rsidRPr="001E5FF0">
        <w:t xml:space="preserve">S. M. Nowick and M. Singh, “Asynchronous Design—Part 1: Overview and Recent Advances,” </w:t>
      </w:r>
      <w:r w:rsidRPr="001E5FF0">
        <w:rPr>
          <w:i/>
          <w:iCs/>
        </w:rPr>
        <w:t>IEEE Design &amp; Test</w:t>
      </w:r>
      <w:r w:rsidRPr="001E5FF0">
        <w:t>, vol. 32, no. 3, pp. 5–18, May/Jun. 2015, doi: 10.1109/MDAT.2015.2413759.</w:t>
      </w:r>
    </w:p>
    <w:p w14:paraId="018ADBE3" w14:textId="48E77BEF" w:rsidR="001E5FF0" w:rsidRPr="001E5FF0" w:rsidRDefault="001E5FF0" w:rsidP="001E5FF0">
      <w:pPr>
        <w:pStyle w:val="references"/>
      </w:pPr>
      <w:r w:rsidRPr="001E5FF0">
        <w:t xml:space="preserve">D. Bertozzi, G. Miorandi, A. Ghiribaldi, W. Burleson, G. Sadowski, K. Bhardwaj, W. Jiang, and S. M. Nowick, “Cost-Effective and Flexible Asynchronous Interconnect Technology for GALS Systems,” </w:t>
      </w:r>
      <w:r w:rsidRPr="001E5FF0">
        <w:rPr>
          <w:i/>
          <w:iCs/>
        </w:rPr>
        <w:t>IEEE Micro</w:t>
      </w:r>
      <w:r w:rsidRPr="001E5FF0">
        <w:t>, vol. 41, no. 1, pp. 69–81, Jan./Feb. 2021, doi: 10.1109/MM.2020.3002790.</w:t>
      </w:r>
    </w:p>
    <w:p w14:paraId="47223243" w14:textId="34A54E19" w:rsidR="001E5FF0" w:rsidRPr="001E5FF0" w:rsidRDefault="001E5FF0" w:rsidP="001E5FF0">
      <w:pPr>
        <w:pStyle w:val="references"/>
      </w:pPr>
      <w:r w:rsidRPr="001E5FF0">
        <w:t xml:space="preserve">W. J. Dally and B. Towles, </w:t>
      </w:r>
      <w:r w:rsidRPr="001E5FF0">
        <w:rPr>
          <w:i/>
          <w:iCs/>
        </w:rPr>
        <w:t>Principles and Practices of Interconnection Networks</w:t>
      </w:r>
      <w:r w:rsidRPr="001E5FF0">
        <w:t>. San Francisco, CA, USA: Morgan Kaufmann, 2004.</w:t>
      </w:r>
    </w:p>
    <w:p w14:paraId="05EF00EC" w14:textId="3055BE18" w:rsidR="001E5FF0" w:rsidRPr="001E5FF0" w:rsidRDefault="001E5FF0" w:rsidP="001E5FF0">
      <w:pPr>
        <w:pStyle w:val="references"/>
      </w:pPr>
      <w:r w:rsidRPr="001E5FF0">
        <w:t xml:space="preserve">P. A. Merolla </w:t>
      </w:r>
      <w:r w:rsidRPr="001E5FF0">
        <w:rPr>
          <w:i/>
          <w:iCs/>
        </w:rPr>
        <w:t>et al.</w:t>
      </w:r>
      <w:r w:rsidRPr="001E5FF0">
        <w:t xml:space="preserve">, “A Million Spiking-Neuron Integrated Circuit with a Scalable Communication Network and Interface,” </w:t>
      </w:r>
      <w:r w:rsidRPr="001E5FF0">
        <w:rPr>
          <w:i/>
          <w:iCs/>
        </w:rPr>
        <w:t>Science</w:t>
      </w:r>
      <w:r w:rsidRPr="001E5FF0">
        <w:t>, vol. 345, no. 6197, pp. 668–673, Aug. 2014, doi: 10.1126/science.1254642.</w:t>
      </w:r>
    </w:p>
    <w:p w14:paraId="3D030EBD" w14:textId="54934FAC" w:rsidR="001E5FF0" w:rsidRPr="001E5FF0" w:rsidRDefault="001E5FF0" w:rsidP="001E5FF0">
      <w:pPr>
        <w:pStyle w:val="references"/>
      </w:pPr>
      <w:r w:rsidRPr="001E5FF0">
        <w:t>Intel Labs, “Taking Neuromorphic Computing to the Next Level with Loihi 2,” Intel Labs Technology Brief, 2021.</w:t>
      </w:r>
    </w:p>
    <w:p w14:paraId="39593A8F" w14:textId="68DE9D9F" w:rsidR="001E5FF0" w:rsidRPr="001E5FF0" w:rsidRDefault="001E5FF0" w:rsidP="001E5FF0">
      <w:pPr>
        <w:pStyle w:val="references"/>
      </w:pPr>
      <w:r w:rsidRPr="001E5FF0">
        <w:t xml:space="preserve">Intel Corporation, “Intel Builds World’s Largest Neuromorphic System to Enable More Sustainable AI,” </w:t>
      </w:r>
      <w:r w:rsidRPr="001E5FF0">
        <w:rPr>
          <w:i/>
          <w:iCs/>
        </w:rPr>
        <w:t>Intel Newsroom</w:t>
      </w:r>
      <w:r w:rsidRPr="001E5FF0">
        <w:t>, Apr. 17, 2024.</w:t>
      </w:r>
    </w:p>
    <w:p w14:paraId="2F2847E2" w14:textId="059F828A" w:rsidR="001E5FF0" w:rsidRPr="001E5FF0" w:rsidRDefault="001E5FF0" w:rsidP="001E5FF0">
      <w:pPr>
        <w:pStyle w:val="references"/>
      </w:pPr>
      <w:r w:rsidRPr="001E5FF0">
        <w:t xml:space="preserve">Y. Zhong </w:t>
      </w:r>
      <w:r w:rsidRPr="001E5FF0">
        <w:rPr>
          <w:i/>
          <w:iCs/>
        </w:rPr>
        <w:t>et al.</w:t>
      </w:r>
      <w:r w:rsidRPr="001E5FF0">
        <w:t xml:space="preserve">, “PAICORE: A 1.9-Million-Neuron 5.181-TSOPS/W Digital Neuromorphic Processor With Unified SNN-ANN and On-Chip Learning Paradigm,” </w:t>
      </w:r>
      <w:r w:rsidRPr="001E5FF0">
        <w:rPr>
          <w:i/>
          <w:iCs/>
        </w:rPr>
        <w:t>IEEE Journal of Solid-State Circuits</w:t>
      </w:r>
      <w:r w:rsidRPr="001E5FF0">
        <w:t>, vol. 60, no. 2, pp. 651–671, Feb. 2025, doi: 10.1109/JSSC.2024.3426319.</w:t>
      </w:r>
    </w:p>
    <w:p w14:paraId="5F0F3FDC" w14:textId="77777777" w:rsidR="009303D9" w:rsidRDefault="009303D9" w:rsidP="00836367">
      <w:pPr>
        <w:pStyle w:val="references"/>
        <w:numPr>
          <w:ilvl w:val="0"/>
          <w:numId w:val="0"/>
        </w:numPr>
        <w:ind w:start="18pt" w:hanging="18pt"/>
      </w:pPr>
    </w:p>
    <w:p w14:paraId="6711C4F1"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2FBD5294" w14:textId="77777777" w:rsidR="009303D9" w:rsidRDefault="003B2B40" w:rsidP="005B520E">
      <w:r>
        <w:rPr>
          <w:noProof/>
        </w:rPr>
        <w:drawing>
          <wp:anchor distT="0" distB="0" distL="114300" distR="114300" simplePos="0" relativeHeight="251657728" behindDoc="1" locked="0" layoutInCell="1" allowOverlap="1" wp14:anchorId="0D15C95E" wp14:editId="17DAC73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609B6A92"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4554535B"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99926F7" w14:textId="77777777" w:rsidR="00783D5F" w:rsidRDefault="00783D5F" w:rsidP="001A3B3D">
      <w:r>
        <w:separator/>
      </w:r>
    </w:p>
  </w:endnote>
  <w:endnote w:type="continuationSeparator" w:id="0">
    <w:p w14:paraId="732D81D1" w14:textId="77777777" w:rsidR="00783D5F" w:rsidRDefault="00783D5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等线">
    <w:altName w:val="DengXian"/>
    <w:panose1 w:val="02010600030101010101"/>
    <w:charset w:characterSet="GBK"/>
    <w:family w:val="auto"/>
    <w:pitch w:val="variable"/>
    <w:sig w:usb0="A00002BF" w:usb1="38CF7CFA" w:usb2="00000016" w:usb3="00000000" w:csb0="0004000F" w:csb1="00000000"/>
  </w:font>
  <w:font w:name="Cambria Math">
    <w:panose1 w:val="02040503050406030204"/>
    <w:charset w:characterSet="iso-8859-1"/>
    <w:family w:val="roman"/>
    <w:pitch w:val="variable"/>
    <w:sig w:usb0="E00006FF" w:usb1="420024FF" w:usb2="02000000" w:usb3="00000000" w:csb0="000001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4175E12"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D07B134" w14:textId="77777777" w:rsidR="00783D5F" w:rsidRDefault="00783D5F" w:rsidP="001A3B3D">
      <w:r>
        <w:separator/>
      </w:r>
    </w:p>
  </w:footnote>
  <w:footnote w:type="continuationSeparator" w:id="0">
    <w:p w14:paraId="18899230" w14:textId="77777777" w:rsidR="00783D5F" w:rsidRDefault="00783D5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94884087">
    <w:abstractNumId w:val="14"/>
  </w:num>
  <w:num w:numId="2" w16cid:durableId="1448812936">
    <w:abstractNumId w:val="19"/>
  </w:num>
  <w:num w:numId="3" w16cid:durableId="825049764">
    <w:abstractNumId w:val="13"/>
  </w:num>
  <w:num w:numId="4" w16cid:durableId="692846868">
    <w:abstractNumId w:val="16"/>
  </w:num>
  <w:num w:numId="5" w16cid:durableId="1840147049">
    <w:abstractNumId w:val="16"/>
  </w:num>
  <w:num w:numId="6" w16cid:durableId="921794076">
    <w:abstractNumId w:val="16"/>
  </w:num>
  <w:num w:numId="7" w16cid:durableId="1555657263">
    <w:abstractNumId w:val="16"/>
  </w:num>
  <w:num w:numId="8" w16cid:durableId="806822304">
    <w:abstractNumId w:val="18"/>
  </w:num>
  <w:num w:numId="9" w16cid:durableId="1491672074">
    <w:abstractNumId w:val="20"/>
  </w:num>
  <w:num w:numId="10" w16cid:durableId="181210210">
    <w:abstractNumId w:val="15"/>
  </w:num>
  <w:num w:numId="11" w16cid:durableId="256643598">
    <w:abstractNumId w:val="12"/>
  </w:num>
  <w:num w:numId="12" w16cid:durableId="602540639">
    <w:abstractNumId w:val="11"/>
  </w:num>
  <w:num w:numId="13" w16cid:durableId="797333068">
    <w:abstractNumId w:val="0"/>
  </w:num>
  <w:num w:numId="14" w16cid:durableId="291374885">
    <w:abstractNumId w:val="10"/>
  </w:num>
  <w:num w:numId="15" w16cid:durableId="173306716">
    <w:abstractNumId w:val="8"/>
  </w:num>
  <w:num w:numId="16" w16cid:durableId="384526391">
    <w:abstractNumId w:val="7"/>
  </w:num>
  <w:num w:numId="17" w16cid:durableId="1794009021">
    <w:abstractNumId w:val="6"/>
  </w:num>
  <w:num w:numId="18" w16cid:durableId="544100202">
    <w:abstractNumId w:val="5"/>
  </w:num>
  <w:num w:numId="19" w16cid:durableId="1250772546">
    <w:abstractNumId w:val="9"/>
  </w:num>
  <w:num w:numId="20" w16cid:durableId="1866864038">
    <w:abstractNumId w:val="4"/>
  </w:num>
  <w:num w:numId="21" w16cid:durableId="224147195">
    <w:abstractNumId w:val="3"/>
  </w:num>
  <w:num w:numId="22" w16cid:durableId="676032206">
    <w:abstractNumId w:val="2"/>
  </w:num>
  <w:num w:numId="23" w16cid:durableId="43650921">
    <w:abstractNumId w:val="1"/>
  </w:num>
  <w:num w:numId="24" w16cid:durableId="199795120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3E4C"/>
    <w:rsid w:val="00060A88"/>
    <w:rsid w:val="0008758A"/>
    <w:rsid w:val="00091475"/>
    <w:rsid w:val="000B11A6"/>
    <w:rsid w:val="000C1E68"/>
    <w:rsid w:val="00117FC8"/>
    <w:rsid w:val="00170FCE"/>
    <w:rsid w:val="001A2EFD"/>
    <w:rsid w:val="001A3B3D"/>
    <w:rsid w:val="001B67DC"/>
    <w:rsid w:val="001B78C5"/>
    <w:rsid w:val="001C1B78"/>
    <w:rsid w:val="001C42CB"/>
    <w:rsid w:val="001E5FF0"/>
    <w:rsid w:val="00212214"/>
    <w:rsid w:val="002254A9"/>
    <w:rsid w:val="00233D97"/>
    <w:rsid w:val="002347A2"/>
    <w:rsid w:val="00255F5E"/>
    <w:rsid w:val="002850E3"/>
    <w:rsid w:val="002C2859"/>
    <w:rsid w:val="002D0D7C"/>
    <w:rsid w:val="003220ED"/>
    <w:rsid w:val="00323AD6"/>
    <w:rsid w:val="0033320D"/>
    <w:rsid w:val="00336151"/>
    <w:rsid w:val="003516EC"/>
    <w:rsid w:val="00354FCF"/>
    <w:rsid w:val="00391A84"/>
    <w:rsid w:val="003A19E2"/>
    <w:rsid w:val="003B0A81"/>
    <w:rsid w:val="003B2B40"/>
    <w:rsid w:val="003B4E04"/>
    <w:rsid w:val="003D6D65"/>
    <w:rsid w:val="003F5A08"/>
    <w:rsid w:val="00420716"/>
    <w:rsid w:val="00423C5F"/>
    <w:rsid w:val="004325FB"/>
    <w:rsid w:val="0043656C"/>
    <w:rsid w:val="00436EEB"/>
    <w:rsid w:val="004432BA"/>
    <w:rsid w:val="0044407E"/>
    <w:rsid w:val="00447BB9"/>
    <w:rsid w:val="00451ECE"/>
    <w:rsid w:val="0046031D"/>
    <w:rsid w:val="00470023"/>
    <w:rsid w:val="004710EB"/>
    <w:rsid w:val="00473AC9"/>
    <w:rsid w:val="004D72B5"/>
    <w:rsid w:val="004E6053"/>
    <w:rsid w:val="00502786"/>
    <w:rsid w:val="00505425"/>
    <w:rsid w:val="005165C5"/>
    <w:rsid w:val="00551B7F"/>
    <w:rsid w:val="005630BA"/>
    <w:rsid w:val="005656F8"/>
    <w:rsid w:val="0056610F"/>
    <w:rsid w:val="00572C0E"/>
    <w:rsid w:val="00575BCA"/>
    <w:rsid w:val="005B0344"/>
    <w:rsid w:val="005B520E"/>
    <w:rsid w:val="005E1E9F"/>
    <w:rsid w:val="005E2800"/>
    <w:rsid w:val="005F0E0B"/>
    <w:rsid w:val="00605825"/>
    <w:rsid w:val="00643F1A"/>
    <w:rsid w:val="00645D22"/>
    <w:rsid w:val="00651A08"/>
    <w:rsid w:val="00654204"/>
    <w:rsid w:val="0066458D"/>
    <w:rsid w:val="00670434"/>
    <w:rsid w:val="00670ABD"/>
    <w:rsid w:val="00677054"/>
    <w:rsid w:val="006B12F7"/>
    <w:rsid w:val="006B5C35"/>
    <w:rsid w:val="006B6B66"/>
    <w:rsid w:val="006B741D"/>
    <w:rsid w:val="006D10F2"/>
    <w:rsid w:val="006E6BCA"/>
    <w:rsid w:val="006F23D6"/>
    <w:rsid w:val="006F6D3D"/>
    <w:rsid w:val="00712977"/>
    <w:rsid w:val="007140CD"/>
    <w:rsid w:val="00715BEA"/>
    <w:rsid w:val="00720B4A"/>
    <w:rsid w:val="00740EEA"/>
    <w:rsid w:val="00767138"/>
    <w:rsid w:val="00770F52"/>
    <w:rsid w:val="0077318F"/>
    <w:rsid w:val="00783D5F"/>
    <w:rsid w:val="00791B26"/>
    <w:rsid w:val="00794804"/>
    <w:rsid w:val="007B33F1"/>
    <w:rsid w:val="007B6DDA"/>
    <w:rsid w:val="007C0308"/>
    <w:rsid w:val="007C2FF2"/>
    <w:rsid w:val="007C4664"/>
    <w:rsid w:val="007D6232"/>
    <w:rsid w:val="007E1D24"/>
    <w:rsid w:val="007F1F99"/>
    <w:rsid w:val="007F6079"/>
    <w:rsid w:val="007F768F"/>
    <w:rsid w:val="008059F1"/>
    <w:rsid w:val="0080791D"/>
    <w:rsid w:val="00836367"/>
    <w:rsid w:val="0086578A"/>
    <w:rsid w:val="00873603"/>
    <w:rsid w:val="008A2C7D"/>
    <w:rsid w:val="008B6524"/>
    <w:rsid w:val="008C2768"/>
    <w:rsid w:val="008C4B23"/>
    <w:rsid w:val="008E06DF"/>
    <w:rsid w:val="008E133B"/>
    <w:rsid w:val="008F6E2C"/>
    <w:rsid w:val="00926EB0"/>
    <w:rsid w:val="009303D9"/>
    <w:rsid w:val="009323ED"/>
    <w:rsid w:val="00933C64"/>
    <w:rsid w:val="00937CE9"/>
    <w:rsid w:val="009441F9"/>
    <w:rsid w:val="0095407C"/>
    <w:rsid w:val="00972203"/>
    <w:rsid w:val="009D19C0"/>
    <w:rsid w:val="009F1D79"/>
    <w:rsid w:val="009F67D9"/>
    <w:rsid w:val="00A059B3"/>
    <w:rsid w:val="00A25831"/>
    <w:rsid w:val="00A26DC7"/>
    <w:rsid w:val="00A31E7E"/>
    <w:rsid w:val="00A44E8D"/>
    <w:rsid w:val="00A454C9"/>
    <w:rsid w:val="00A526B7"/>
    <w:rsid w:val="00A54C71"/>
    <w:rsid w:val="00AA448F"/>
    <w:rsid w:val="00AE3409"/>
    <w:rsid w:val="00B05E64"/>
    <w:rsid w:val="00B11A60"/>
    <w:rsid w:val="00B16AED"/>
    <w:rsid w:val="00B22613"/>
    <w:rsid w:val="00B44A76"/>
    <w:rsid w:val="00B53E6A"/>
    <w:rsid w:val="00B768D1"/>
    <w:rsid w:val="00BA1025"/>
    <w:rsid w:val="00BB5678"/>
    <w:rsid w:val="00BC0129"/>
    <w:rsid w:val="00BC3420"/>
    <w:rsid w:val="00BC7E0E"/>
    <w:rsid w:val="00BD670B"/>
    <w:rsid w:val="00BE7D3C"/>
    <w:rsid w:val="00BF5FF6"/>
    <w:rsid w:val="00C0207F"/>
    <w:rsid w:val="00C16117"/>
    <w:rsid w:val="00C21520"/>
    <w:rsid w:val="00C3075A"/>
    <w:rsid w:val="00C55E4D"/>
    <w:rsid w:val="00C70AFA"/>
    <w:rsid w:val="00C87415"/>
    <w:rsid w:val="00C919A4"/>
    <w:rsid w:val="00C94C01"/>
    <w:rsid w:val="00CA4392"/>
    <w:rsid w:val="00CC393F"/>
    <w:rsid w:val="00CD2F7F"/>
    <w:rsid w:val="00D2176E"/>
    <w:rsid w:val="00D21837"/>
    <w:rsid w:val="00D357F3"/>
    <w:rsid w:val="00D436E6"/>
    <w:rsid w:val="00D6072E"/>
    <w:rsid w:val="00D632BE"/>
    <w:rsid w:val="00D72D06"/>
    <w:rsid w:val="00D7397B"/>
    <w:rsid w:val="00D7522C"/>
    <w:rsid w:val="00D7536F"/>
    <w:rsid w:val="00D76668"/>
    <w:rsid w:val="00D85A13"/>
    <w:rsid w:val="00DD78DD"/>
    <w:rsid w:val="00DF1729"/>
    <w:rsid w:val="00E07383"/>
    <w:rsid w:val="00E165BC"/>
    <w:rsid w:val="00E21B6C"/>
    <w:rsid w:val="00E61E12"/>
    <w:rsid w:val="00E625D4"/>
    <w:rsid w:val="00E7596C"/>
    <w:rsid w:val="00E878F2"/>
    <w:rsid w:val="00EB6324"/>
    <w:rsid w:val="00ED0149"/>
    <w:rsid w:val="00ED13DB"/>
    <w:rsid w:val="00ED2F20"/>
    <w:rsid w:val="00EE17D7"/>
    <w:rsid w:val="00EE56F1"/>
    <w:rsid w:val="00EF71D9"/>
    <w:rsid w:val="00EF7DE3"/>
    <w:rsid w:val="00F03103"/>
    <w:rsid w:val="00F271DE"/>
    <w:rsid w:val="00F36B6A"/>
    <w:rsid w:val="00F47BDC"/>
    <w:rsid w:val="00F611AE"/>
    <w:rsid w:val="00F627DA"/>
    <w:rsid w:val="00F7288F"/>
    <w:rsid w:val="00F847A6"/>
    <w:rsid w:val="00F86419"/>
    <w:rsid w:val="00F9441B"/>
    <w:rsid w:val="00FA4C32"/>
    <w:rsid w:val="00FE6793"/>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BBCB856"/>
  <w15:chartTrackingRefBased/>
  <w15:docId w15:val="{165FECE2-C1F4-4393-BF93-143ADA9681E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link w:val="20"/>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styleId="a9">
    <w:name w:val="annotation reference"/>
    <w:basedOn w:val="a0"/>
    <w:rsid w:val="00AA448F"/>
    <w:rPr>
      <w:sz w:val="21"/>
      <w:szCs w:val="21"/>
    </w:rPr>
  </w:style>
  <w:style w:type="paragraph" w:styleId="aa">
    <w:name w:val="annotation text"/>
    <w:basedOn w:val="a"/>
    <w:link w:val="ab"/>
    <w:rsid w:val="00AA448F"/>
    <w:pPr>
      <w:jc w:val="start"/>
    </w:pPr>
  </w:style>
  <w:style w:type="character" w:customStyle="1" w:styleId="ab">
    <w:name w:val="批注文字 字符"/>
    <w:basedOn w:val="a0"/>
    <w:link w:val="aa"/>
    <w:rsid w:val="00AA448F"/>
  </w:style>
  <w:style w:type="paragraph" w:styleId="ac">
    <w:name w:val="annotation subject"/>
    <w:basedOn w:val="aa"/>
    <w:next w:val="aa"/>
    <w:link w:val="ad"/>
    <w:rsid w:val="00AA448F"/>
    <w:rPr>
      <w:b/>
      <w:bCs/>
    </w:rPr>
  </w:style>
  <w:style w:type="character" w:customStyle="1" w:styleId="ad">
    <w:name w:val="批注主题 字符"/>
    <w:basedOn w:val="ab"/>
    <w:link w:val="ac"/>
    <w:rsid w:val="00AA448F"/>
    <w:rPr>
      <w:b/>
      <w:bCs/>
    </w:rPr>
  </w:style>
  <w:style w:type="character" w:customStyle="1" w:styleId="20">
    <w:name w:val="标题 2 字符"/>
    <w:basedOn w:val="a0"/>
    <w:link w:val="2"/>
    <w:rsid w:val="00770F52"/>
    <w:rPr>
      <w:i/>
      <w:iCs/>
      <w:noProof/>
    </w:rPr>
  </w:style>
  <w:style w:type="paragraph" w:styleId="ae">
    <w:name w:val="Normal (Web)"/>
    <w:basedOn w:val="a"/>
    <w:rsid w:val="00BC0129"/>
    <w:rPr>
      <w:sz w:val="24"/>
      <w:szCs w:val="24"/>
    </w:rPr>
  </w:style>
  <w:style w:type="character" w:styleId="af">
    <w:name w:val="Placeholder Text"/>
    <w:basedOn w:val="a0"/>
    <w:uiPriority w:val="99"/>
    <w:semiHidden/>
    <w:rsid w:val="00D21837"/>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11496</TotalTime>
  <Pages>1</Pages>
  <Words>7424</Words>
  <Characters>18562</Characters>
  <Application>Microsoft Office Word</Application>
  <DocSecurity>0</DocSecurity>
  <Lines>386</Lines>
  <Paragraphs>245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力言 赵</cp:lastModifiedBy>
  <cp:revision>3</cp:revision>
  <dcterms:created xsi:type="dcterms:W3CDTF">2026-09-01T13:32:00Z</dcterms:created>
  <dcterms:modified xsi:type="dcterms:W3CDTF">2026-09-14T03:52:00Z</dcterms:modified>
</cp:coreProperties>
</file>