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7A98BDE5" w14:textId="77777777" w:rsidR="00212214" w:rsidRDefault="00053E4C" w:rsidP="00053E4C">
      <w:pPr>
        <w:pStyle w:val="Author"/>
        <w:spacing w:before="5pt" w:beforeAutospacing="1"/>
        <w:rPr>
          <w:rFonts w:eastAsiaTheme="minorEastAsia"/>
          <w:kern w:val="48"/>
          <w:sz w:val="48"/>
          <w:szCs w:val="48"/>
          <w:lang w:eastAsia="zh-CN"/>
        </w:rPr>
      </w:pPr>
      <w:r w:rsidRPr="00053E4C">
        <w:rPr>
          <w:rFonts w:eastAsiaTheme="minorEastAsia"/>
          <w:kern w:val="48"/>
          <w:sz w:val="48"/>
          <w:szCs w:val="48"/>
          <w:lang w:eastAsia="zh-CN"/>
        </w:rPr>
        <w:t>A Fully Asynchronous Hierarchical NoC with Multicast Routing Across Tree and Mesh Tiers</w:t>
      </w:r>
    </w:p>
    <w:p w14:paraId="74D9383E" w14:textId="1EDF60FE" w:rsidR="00053E4C" w:rsidRDefault="00053E4C" w:rsidP="00053E4C">
      <w:pPr>
        <w:pStyle w:val="Author"/>
        <w:spacing w:before="5pt" w:beforeAutospacing="1"/>
        <w:rPr>
          <w:sz w:val="18"/>
          <w:szCs w:val="18"/>
          <w:lang w:eastAsia="zh-CN"/>
        </w:rPr>
      </w:pPr>
      <w:r w:rsidRPr="00F847A6">
        <w:rPr>
          <w:sz w:val="18"/>
          <w:szCs w:val="18"/>
        </w:rPr>
        <w:t>line 1: 1</w:t>
      </w:r>
      <w:r w:rsidRPr="00F847A6">
        <w:rPr>
          <w:sz w:val="18"/>
          <w:szCs w:val="18"/>
          <w:vertAlign w:val="superscript"/>
        </w:rPr>
        <w:t>st</w:t>
      </w:r>
      <w:r w:rsidRPr="00F847A6">
        <w:rPr>
          <w:sz w:val="18"/>
          <w:szCs w:val="18"/>
        </w:rPr>
        <w:t xml:space="preserve"> Given Name Surname </w:t>
      </w:r>
      <w:r w:rsidRPr="00F847A6">
        <w:rPr>
          <w:sz w:val="18"/>
          <w:szCs w:val="18"/>
        </w:rPr>
        <w:br/>
        <w:t xml:space="preserve">line 2: </w:t>
      </w:r>
      <w:r w:rsidRPr="00F847A6">
        <w:rPr>
          <w:i/>
          <w:sz w:val="18"/>
          <w:szCs w:val="18"/>
        </w:rPr>
        <w:t>dept. name of organization</w:t>
      </w:r>
      <w:r>
        <w:rPr>
          <w:i/>
          <w:sz w:val="18"/>
          <w:szCs w:val="18"/>
        </w:rPr>
        <w:br/>
      </w:r>
      <w:r w:rsidRPr="00F847A6">
        <w:rPr>
          <w:i/>
          <w:sz w:val="18"/>
          <w:szCs w:val="18"/>
        </w:rPr>
        <w:t xml:space="preserve">(of </w:t>
      </w:r>
      <w:r w:rsidRPr="00F847A6">
        <w:rPr>
          <w:i/>
          <w:iCs/>
          <w:sz w:val="18"/>
          <w:szCs w:val="18"/>
        </w:rPr>
        <w:t>Affiliation</w:t>
      </w:r>
      <w:r w:rsidRPr="00F847A6">
        <w:rPr>
          <w:i/>
          <w:sz w:val="18"/>
          <w:szCs w:val="18"/>
        </w:rPr>
        <w:t>)</w:t>
      </w:r>
      <w:r w:rsidRPr="00F847A6">
        <w:rPr>
          <w:sz w:val="18"/>
          <w:szCs w:val="18"/>
        </w:rPr>
        <w:br/>
        <w:t xml:space="preserve">line 3: </w:t>
      </w:r>
      <w:r w:rsidRPr="00F847A6">
        <w:rPr>
          <w:i/>
          <w:sz w:val="18"/>
          <w:szCs w:val="18"/>
        </w:rPr>
        <w:t xml:space="preserve">name of organization </w:t>
      </w:r>
      <w:r>
        <w:rPr>
          <w:i/>
          <w:sz w:val="18"/>
          <w:szCs w:val="18"/>
        </w:rPr>
        <w:br/>
      </w:r>
      <w:r w:rsidRPr="00F847A6">
        <w:rPr>
          <w:i/>
          <w:sz w:val="18"/>
          <w:szCs w:val="18"/>
        </w:rPr>
        <w:t>(of Affiliation)</w:t>
      </w:r>
      <w:r w:rsidRPr="00F847A6">
        <w:rPr>
          <w:i/>
          <w:sz w:val="18"/>
          <w:szCs w:val="18"/>
        </w:rPr>
        <w:br/>
      </w:r>
      <w:r w:rsidRPr="00F847A6">
        <w:rPr>
          <w:sz w:val="18"/>
          <w:szCs w:val="18"/>
        </w:rPr>
        <w:t>line 4: City, Country</w:t>
      </w:r>
      <w:r w:rsidRPr="00F847A6">
        <w:rPr>
          <w:sz w:val="18"/>
          <w:szCs w:val="18"/>
        </w:rPr>
        <w:br/>
        <w:t>line 5: email address</w:t>
      </w:r>
      <w:r>
        <w:rPr>
          <w:sz w:val="18"/>
          <w:szCs w:val="18"/>
        </w:rPr>
        <w:t xml:space="preserve"> or ORCI</w:t>
      </w:r>
      <w:r>
        <w:rPr>
          <w:rFonts w:hint="eastAsia"/>
          <w:sz w:val="18"/>
          <w:szCs w:val="18"/>
          <w:lang w:eastAsia="zh-CN"/>
        </w:rPr>
        <w:t>D</w:t>
      </w:r>
    </w:p>
    <w:p w14:paraId="6111ED35" w14:textId="77777777" w:rsidR="00053E4C" w:rsidRPr="00053E4C" w:rsidRDefault="00053E4C" w:rsidP="00CA4392">
      <w:pPr>
        <w:pStyle w:val="Author"/>
        <w:spacing w:before="5pt" w:beforeAutospacing="1" w:after="5pt" w:afterAutospacing="1" w:line="6pt" w:lineRule="auto"/>
        <w:rPr>
          <w:sz w:val="16"/>
          <w:szCs w:val="16"/>
          <w:lang w:eastAsia="zh-CN"/>
        </w:rPr>
        <w:sectPr w:rsidR="00053E4C" w:rsidRPr="00053E4C" w:rsidSect="003B4E04">
          <w:footerReference w:type="first" r:id="rId8"/>
          <w:pgSz w:w="595.30pt" w:h="841.90pt" w:code="9"/>
          <w:pgMar w:top="27pt" w:right="44.65pt" w:bottom="72pt" w:left="44.65pt" w:header="36pt" w:footer="36pt" w:gutter="0pt"/>
          <w:cols w:space="36pt"/>
          <w:titlePg/>
          <w:docGrid w:linePitch="360"/>
        </w:sectPr>
      </w:pPr>
    </w:p>
    <w:p w14:paraId="585D0763" w14:textId="6F5083FD" w:rsidR="009F1D79" w:rsidRPr="00053E4C" w:rsidRDefault="00BD670B" w:rsidP="00053E4C">
      <w:pPr>
        <w:pStyle w:val="Author"/>
        <w:spacing w:before="5pt" w:beforeAutospacing="1"/>
        <w:jc w:val="both"/>
        <w:rPr>
          <w:sz w:val="18"/>
          <w:szCs w:val="18"/>
        </w:rPr>
        <w:sectPr w:rsidR="009F1D79" w:rsidRPr="00053E4C" w:rsidSect="003B4E04">
          <w:type w:val="continuous"/>
          <w:pgSz w:w="595.30pt" w:h="841.90pt" w:code="9"/>
          <w:pgMar w:top="22.50pt" w:right="44.65pt" w:bottom="72pt" w:left="44.65pt" w:header="36pt" w:footer="36pt" w:gutter="0pt"/>
          <w:cols w:num="3" w:space="36pt"/>
          <w:docGrid w:linePitch="360"/>
        </w:sectPr>
      </w:pPr>
      <w:r>
        <w:rPr>
          <w:sz w:val="18"/>
          <w:szCs w:val="18"/>
        </w:rPr>
        <w:br w:type="column"/>
      </w:r>
    </w:p>
    <w:p w14:paraId="03F143E0" w14:textId="77777777"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br w:type="column"/>
      </w:r>
    </w:p>
    <w:p w14:paraId="59C592DC" w14:textId="77777777" w:rsidR="004D72B5" w:rsidRDefault="009303D9" w:rsidP="00972203">
      <w:pPr>
        <w:pStyle w:val="Abstract"/>
        <w:rPr>
          <w:i/>
          <w:iCs/>
        </w:rPr>
      </w:pPr>
      <w:r>
        <w:rPr>
          <w:i/>
          <w:iCs/>
        </w:rPr>
        <w:t>Abstract</w:t>
      </w:r>
      <w:r>
        <w:t>—</w:t>
      </w:r>
      <w:r w:rsidR="005B0344" w:rsidRPr="005B0344">
        <w:t xml:space="preserve">This electronic document is a “live” template and already defines the components of your paper [title, text, heads, etc.] in its style sheet. </w:t>
      </w:r>
      <w:r w:rsidR="005B0344" w:rsidRPr="0056610F">
        <w:t xml:space="preserve"> </w:t>
      </w:r>
      <w:r w:rsidR="00E7596C" w:rsidRPr="0056610F">
        <w:rPr>
          <w:i/>
        </w:rPr>
        <w:t>*</w:t>
      </w:r>
      <w:r w:rsidR="005B0344" w:rsidRPr="0056610F">
        <w:rPr>
          <w:i/>
        </w:rPr>
        <w:t>CRITICAL:  Do</w:t>
      </w:r>
      <w:r w:rsidR="005B0344" w:rsidRPr="0056610F">
        <w:rPr>
          <w:rFonts w:eastAsia="Times New Roman"/>
          <w:i/>
        </w:rPr>
        <w:t xml:space="preserve"> </w:t>
      </w:r>
      <w:r w:rsidR="005B0344" w:rsidRPr="0056610F">
        <w:rPr>
          <w:i/>
        </w:rPr>
        <w:t>Not</w:t>
      </w:r>
      <w:r w:rsidR="005B0344" w:rsidRPr="0056610F">
        <w:rPr>
          <w:rFonts w:eastAsia="Times New Roman"/>
          <w:i/>
        </w:rPr>
        <w:t xml:space="preserve"> </w:t>
      </w:r>
      <w:r w:rsidR="005B0344" w:rsidRPr="0056610F">
        <w:rPr>
          <w:i/>
        </w:rPr>
        <w:t>Use</w:t>
      </w:r>
      <w:r w:rsidR="005B0344" w:rsidRPr="0056610F">
        <w:rPr>
          <w:rFonts w:eastAsia="Times New Roman"/>
          <w:i/>
        </w:rPr>
        <w:t xml:space="preserve"> </w:t>
      </w:r>
      <w:r w:rsidR="005B0344" w:rsidRPr="0056610F">
        <w:rPr>
          <w:i/>
        </w:rPr>
        <w:t>Symbols,</w:t>
      </w:r>
      <w:r w:rsidR="005B0344" w:rsidRPr="0056610F">
        <w:rPr>
          <w:rFonts w:eastAsia="Times New Roman"/>
          <w:i/>
        </w:rPr>
        <w:t xml:space="preserve"> </w:t>
      </w:r>
      <w:r w:rsidR="005B0344" w:rsidRPr="0056610F">
        <w:rPr>
          <w:i/>
        </w:rPr>
        <w:t>Special</w:t>
      </w:r>
      <w:r w:rsidR="005B0344" w:rsidRPr="0056610F">
        <w:rPr>
          <w:rFonts w:eastAsia="Times New Roman"/>
          <w:i/>
        </w:rPr>
        <w:t xml:space="preserve"> </w:t>
      </w:r>
      <w:r w:rsidR="005B0344" w:rsidRPr="0056610F">
        <w:rPr>
          <w:i/>
        </w:rPr>
        <w:t>Characters,</w:t>
      </w:r>
      <w:r w:rsidR="005B0344" w:rsidRPr="0056610F">
        <w:rPr>
          <w:rFonts w:eastAsia="Times New Roman"/>
          <w:i/>
        </w:rPr>
        <w:t xml:space="preserve"> </w:t>
      </w:r>
      <w:r w:rsidR="00D7522C">
        <w:rPr>
          <w:rFonts w:eastAsia="Times New Roman"/>
          <w:i/>
        </w:rPr>
        <w:t xml:space="preserve">Footnotes, </w:t>
      </w:r>
      <w:r w:rsidR="005B0344" w:rsidRPr="0056610F">
        <w:rPr>
          <w:i/>
        </w:rPr>
        <w:t>or</w:t>
      </w:r>
      <w:r w:rsidR="005B0344" w:rsidRPr="0056610F">
        <w:rPr>
          <w:rFonts w:eastAsia="Times New Roman"/>
          <w:i/>
        </w:rPr>
        <w:t xml:space="preserve"> </w:t>
      </w:r>
      <w:r w:rsidR="005B0344" w:rsidRPr="0056610F">
        <w:rPr>
          <w:i/>
        </w:rPr>
        <w:t>Math</w:t>
      </w:r>
      <w:r w:rsidR="005B0344" w:rsidRPr="0056610F">
        <w:rPr>
          <w:rFonts w:eastAsia="Times New Roman"/>
          <w:i/>
        </w:rPr>
        <w:t xml:space="preserve"> </w:t>
      </w:r>
      <w:r w:rsidR="005B0344" w:rsidRPr="0056610F">
        <w:rPr>
          <w:i/>
        </w:rPr>
        <w:t>in</w:t>
      </w:r>
      <w:r w:rsidR="005B0344" w:rsidRPr="0056610F">
        <w:rPr>
          <w:rFonts w:eastAsia="Times New Roman"/>
          <w:i/>
        </w:rPr>
        <w:t xml:space="preserve"> Paper </w:t>
      </w:r>
      <w:r w:rsidR="005B0344" w:rsidRPr="0056610F">
        <w:rPr>
          <w:i/>
        </w:rPr>
        <w:t>Title</w:t>
      </w:r>
      <w:r w:rsidR="005B0344" w:rsidRPr="0056610F">
        <w:rPr>
          <w:rFonts w:eastAsia="Times New Roman"/>
          <w:i/>
        </w:rPr>
        <w:t xml:space="preserve"> o</w:t>
      </w:r>
      <w:r w:rsidR="005B0344" w:rsidRPr="0056610F">
        <w:rPr>
          <w:i/>
        </w:rPr>
        <w:t>r</w:t>
      </w:r>
      <w:r w:rsidR="005B0344" w:rsidRPr="0056610F">
        <w:rPr>
          <w:rFonts w:eastAsia="Times New Roman"/>
          <w:i/>
        </w:rPr>
        <w:t xml:space="preserve"> </w:t>
      </w:r>
      <w:r w:rsidR="005B0344" w:rsidRPr="0056610F">
        <w:rPr>
          <w:i/>
        </w:rPr>
        <w:t>Abstract</w:t>
      </w:r>
      <w:r w:rsidRPr="0056610F">
        <w:t xml:space="preserve">. </w:t>
      </w:r>
      <w:r w:rsidRPr="007C0308">
        <w:rPr>
          <w:iCs/>
        </w:rPr>
        <w:t>(</w:t>
      </w:r>
      <w:r w:rsidRPr="005B0344">
        <w:rPr>
          <w:b w:val="0"/>
          <w:i/>
          <w:iCs/>
        </w:rPr>
        <w:t>Abstract</w:t>
      </w:r>
      <w:r w:rsidRPr="007C0308">
        <w:rPr>
          <w:iCs/>
        </w:rPr>
        <w:t>)</w:t>
      </w:r>
    </w:p>
    <w:p w14:paraId="0B9FDB64" w14:textId="77777777" w:rsidR="009303D9" w:rsidRPr="004D72B5" w:rsidRDefault="004D72B5" w:rsidP="00972203">
      <w:pPr>
        <w:pStyle w:val="Keywords"/>
      </w:pPr>
      <w:r w:rsidRPr="004D72B5">
        <w:t>Keywords—</w:t>
      </w:r>
      <w:r w:rsidR="009303D9" w:rsidRPr="004D72B5">
        <w:t>component</w:t>
      </w:r>
      <w:r w:rsidR="00D7522C">
        <w:t>,</w:t>
      </w:r>
      <w:r w:rsidR="009303D9" w:rsidRPr="004D72B5">
        <w:t xml:space="preserve"> formatting</w:t>
      </w:r>
      <w:r w:rsidR="00D7522C">
        <w:t>,</w:t>
      </w:r>
      <w:r w:rsidR="009303D9" w:rsidRPr="004D72B5">
        <w:t xml:space="preserve"> style</w:t>
      </w:r>
      <w:r w:rsidR="00D7522C">
        <w:t>,</w:t>
      </w:r>
      <w:r w:rsidR="009303D9" w:rsidRPr="004D72B5">
        <w:t xml:space="preserve"> styling</w:t>
      </w:r>
      <w:r w:rsidR="00D7522C">
        <w:t>,</w:t>
      </w:r>
      <w:r w:rsidR="009303D9" w:rsidRPr="004D72B5">
        <w:t xml:space="preserve"> insert (</w:t>
      </w:r>
      <w:r w:rsidR="009303D9" w:rsidRPr="005B0344">
        <w:rPr>
          <w:b w:val="0"/>
        </w:rPr>
        <w:t>key words</w:t>
      </w:r>
      <w:r w:rsidR="009303D9" w:rsidRPr="004D72B5">
        <w:t>)</w:t>
      </w:r>
    </w:p>
    <w:p w14:paraId="0EB03A29" w14:textId="11E36D7B" w:rsidR="009303D9" w:rsidRPr="00D632BE" w:rsidRDefault="009303D9" w:rsidP="006B6B66">
      <w:pPr>
        <w:pStyle w:val="1"/>
      </w:pPr>
      <w:bookmarkStart w:id="0" w:name="_Ref239451333"/>
      <w:r w:rsidRPr="00D632BE">
        <w:t>Introduction</w:t>
      </w:r>
      <w:bookmarkEnd w:id="0"/>
      <w:r w:rsidRPr="00D632BE">
        <w:t xml:space="preserve"> </w:t>
      </w:r>
    </w:p>
    <w:p w14:paraId="731C6129" w14:textId="3F0E880A" w:rsidR="00A454C9" w:rsidRDefault="006B741D" w:rsidP="006B741D">
      <w:pPr>
        <w:pStyle w:val="a3"/>
        <w:ind w:firstLine="0pt"/>
        <w:rPr>
          <w:rFonts w:hint="eastAsia"/>
          <w:color w:val="000000" w:themeColor="text1"/>
          <w:lang w:val="en-US" w:eastAsia="zh-CN"/>
        </w:rPr>
      </w:pPr>
      <w:r>
        <w:rPr>
          <w:lang w:eastAsia="zh-CN"/>
        </w:rPr>
        <w:tab/>
      </w:r>
      <w:r w:rsidR="007140CD" w:rsidRPr="007140CD">
        <w:rPr>
          <w:lang w:val="en-US" w:eastAsia="zh-CN"/>
        </w:rPr>
        <w:t xml:space="preserve">Event-driven systems, particularly neuromorphic processors, communicate through sparse events that may target many destinations </w:t>
      </w:r>
      <w:r w:rsidR="003220ED">
        <w:rPr>
          <w:rFonts w:hint="eastAsia"/>
          <w:lang w:val="en-US" w:eastAsia="zh-CN"/>
        </w:rPr>
        <w:t>[1]</w:t>
      </w:r>
      <w:r w:rsidR="007F6079">
        <w:rPr>
          <w:rFonts w:hint="eastAsia"/>
          <w:lang w:val="en-US" w:eastAsia="zh-CN"/>
        </w:rPr>
        <w:t xml:space="preserve">, [2], [3], </w:t>
      </w:r>
      <w:r w:rsidR="007140CD" w:rsidRPr="007140CD">
        <w:rPr>
          <w:lang w:val="en-US" w:eastAsia="zh-CN"/>
        </w:rPr>
        <w:t>[4].</w:t>
      </w:r>
      <w:r w:rsidR="00AA448F">
        <w:rPr>
          <w:rFonts w:hint="eastAsia"/>
          <w:lang w:val="en-US" w:eastAsia="zh-CN"/>
        </w:rPr>
        <w:t xml:space="preserve"> </w:t>
      </w:r>
      <w:r w:rsidR="007E1D24" w:rsidRPr="007E1D24">
        <w:rPr>
          <w:lang w:val="en-US" w:eastAsia="zh-CN"/>
        </w:rPr>
        <w:t>As a result, a single event often needs to be delivered from one source to a set of processing elements</w:t>
      </w:r>
      <w:r w:rsidR="006D10F2">
        <w:rPr>
          <w:rFonts w:hint="eastAsia"/>
          <w:lang w:val="en-US" w:eastAsia="zh-CN"/>
        </w:rPr>
        <w:t xml:space="preserve"> (PEs)</w:t>
      </w:r>
      <w:r w:rsidR="007E1D24" w:rsidRPr="007E1D24">
        <w:rPr>
          <w:lang w:val="en-US" w:eastAsia="zh-CN"/>
        </w:rPr>
        <w:t xml:space="preserve">, </w:t>
      </w:r>
      <w:r w:rsidR="007E1D24" w:rsidRPr="00EE17D7">
        <w:rPr>
          <w:color w:val="000000" w:themeColor="text1"/>
          <w:highlight w:val="yellow"/>
          <w:lang w:val="en-US" w:eastAsia="zh-CN"/>
        </w:rPr>
        <w:t>giving rise to one-to-many, or multicast, communication</w:t>
      </w:r>
      <w:r w:rsidR="007E1D24" w:rsidRPr="007E1D24">
        <w:rPr>
          <w:lang w:val="en-US" w:eastAsia="zh-CN"/>
        </w:rPr>
        <w:t xml:space="preserve"> [5], [6].</w:t>
      </w:r>
      <w:r w:rsidR="007E1D24">
        <w:rPr>
          <w:rFonts w:hint="eastAsia"/>
          <w:lang w:val="en-US" w:eastAsia="zh-CN"/>
        </w:rPr>
        <w:t xml:space="preserve"> </w:t>
      </w:r>
      <w:r w:rsidR="00AA448F" w:rsidRPr="00AA448F">
        <w:rPr>
          <w:lang w:val="en-US" w:eastAsia="zh-CN"/>
        </w:rPr>
        <w:t xml:space="preserve">With hardware multicast support, </w:t>
      </w:r>
      <w:r w:rsidR="007E1D24">
        <w:rPr>
          <w:rFonts w:hint="eastAsia"/>
          <w:lang w:val="en-US" w:eastAsia="zh-CN"/>
        </w:rPr>
        <w:t>the source injects</w:t>
      </w:r>
      <w:r w:rsidR="00F86419">
        <w:rPr>
          <w:rFonts w:hint="eastAsia"/>
          <w:lang w:val="en-US" w:eastAsia="zh-CN"/>
        </w:rPr>
        <w:t xml:space="preserve"> </w:t>
      </w:r>
      <w:r w:rsidR="007F6079">
        <w:rPr>
          <w:rFonts w:hint="eastAsia"/>
          <w:lang w:val="en-US" w:eastAsia="zh-CN"/>
        </w:rPr>
        <w:t xml:space="preserve">a single </w:t>
      </w:r>
      <w:r w:rsidR="007E1D24">
        <w:rPr>
          <w:rFonts w:hint="eastAsia"/>
          <w:lang w:val="en-US" w:eastAsia="zh-CN"/>
        </w:rPr>
        <w:t>packet, which is</w:t>
      </w:r>
      <w:r w:rsidR="00AA448F" w:rsidRPr="00AA448F">
        <w:rPr>
          <w:lang w:val="en-US" w:eastAsia="zh-CN"/>
        </w:rPr>
        <w:t xml:space="preserve"> replicated inside the network</w:t>
      </w:r>
      <w:r w:rsidR="007E1D24">
        <w:rPr>
          <w:rFonts w:hint="eastAsia"/>
          <w:lang w:val="en-US" w:eastAsia="zh-CN"/>
        </w:rPr>
        <w:t xml:space="preserve"> </w:t>
      </w:r>
      <w:r w:rsidR="00AA448F" w:rsidRPr="00AA448F">
        <w:rPr>
          <w:lang w:val="en-US" w:eastAsia="zh-CN"/>
        </w:rPr>
        <w:t>when delivery paths diverge,</w:t>
      </w:r>
      <w:r w:rsidR="007E1D24">
        <w:rPr>
          <w:rFonts w:hint="eastAsia"/>
          <w:lang w:val="en-US" w:eastAsia="zh-CN"/>
        </w:rPr>
        <w:t xml:space="preserve"> </w:t>
      </w:r>
      <w:r w:rsidR="00060A88">
        <w:rPr>
          <w:rFonts w:hint="eastAsia"/>
          <w:lang w:val="en-US" w:eastAsia="zh-CN"/>
        </w:rPr>
        <w:t>whereas</w:t>
      </w:r>
      <w:r w:rsidR="00AA448F" w:rsidRPr="00AA448F">
        <w:rPr>
          <w:lang w:val="en-US" w:eastAsia="zh-CN"/>
        </w:rPr>
        <w:t xml:space="preserve"> unicast-based multicast generates separate point-to-point packets for individual destinations </w:t>
      </w:r>
      <w:r w:rsidR="007F6079">
        <w:rPr>
          <w:rFonts w:hint="eastAsia"/>
          <w:lang w:val="en-US" w:eastAsia="zh-CN"/>
        </w:rPr>
        <w:t>[2], [5], [6]</w:t>
      </w:r>
      <w:r w:rsidR="00AA448F" w:rsidRPr="00AA448F">
        <w:rPr>
          <w:lang w:val="en-US" w:eastAsia="zh-CN"/>
        </w:rPr>
        <w:t>.</w:t>
      </w:r>
      <w:r w:rsidR="00AA448F">
        <w:rPr>
          <w:rFonts w:hint="eastAsia"/>
          <w:lang w:val="en-US" w:eastAsia="zh-CN"/>
        </w:rPr>
        <w:t xml:space="preserve"> </w:t>
      </w:r>
      <w:r w:rsidR="00AA448F" w:rsidRPr="00AA448F">
        <w:rPr>
          <w:lang w:val="en-US" w:eastAsia="zh-CN"/>
        </w:rPr>
        <w:t xml:space="preserve">Such support becomes increasingly important as neuromorphic systems scale to hundreds or thousands of </w:t>
      </w:r>
      <w:r w:rsidR="007F6079">
        <w:rPr>
          <w:rFonts w:hint="eastAsia"/>
          <w:lang w:val="en-US" w:eastAsia="zh-CN"/>
        </w:rPr>
        <w:t>PEs</w:t>
      </w:r>
      <w:r w:rsidR="00AA448F" w:rsidRPr="00AA448F">
        <w:rPr>
          <w:lang w:val="en-US" w:eastAsia="zh-CN"/>
        </w:rPr>
        <w:t xml:space="preserve">, where repeated unicasts increase injection traffic and duplicate transmissions along shared paths </w:t>
      </w:r>
      <w:r w:rsidR="007F6079">
        <w:rPr>
          <w:rFonts w:hint="eastAsia"/>
          <w:lang w:val="en-US" w:eastAsia="zh-CN"/>
        </w:rPr>
        <w:t>[2], [3], [5], [6]</w:t>
      </w:r>
      <w:r w:rsidR="00AA448F" w:rsidRPr="00AA448F">
        <w:rPr>
          <w:lang w:val="en-US" w:eastAsia="zh-CN"/>
        </w:rPr>
        <w:t>.</w:t>
      </w:r>
      <w:r w:rsidR="007140CD" w:rsidRPr="007140CD">
        <w:rPr>
          <w:lang w:val="en-US" w:eastAsia="zh-CN"/>
        </w:rPr>
        <w:t xml:space="preserve"> </w:t>
      </w:r>
      <w:r w:rsidR="00AA448F" w:rsidRPr="00AA448F">
        <w:rPr>
          <w:lang w:val="en-US" w:eastAsia="zh-CN"/>
        </w:rPr>
        <w:t xml:space="preserve">Fully asynchronous </w:t>
      </w:r>
      <w:proofErr w:type="spellStart"/>
      <w:r w:rsidR="00AA448F" w:rsidRPr="00AA448F">
        <w:rPr>
          <w:lang w:val="en-US" w:eastAsia="zh-CN"/>
        </w:rPr>
        <w:t>NoCs</w:t>
      </w:r>
      <w:proofErr w:type="spellEnd"/>
      <w:r w:rsidR="00AA448F" w:rsidRPr="00AA448F">
        <w:rPr>
          <w:lang w:val="en-US" w:eastAsia="zh-CN"/>
        </w:rPr>
        <w:t xml:space="preserve"> are also well matched to sparse and irregular event activity, since communication proceeds through local ha</w:t>
      </w:r>
      <w:r w:rsidR="00AA448F" w:rsidRPr="00EE17D7">
        <w:rPr>
          <w:color w:val="000000" w:themeColor="text1"/>
          <w:lang w:val="en-US" w:eastAsia="zh-CN"/>
        </w:rPr>
        <w:t>ndshakes without requiring a global network clock [</w:t>
      </w:r>
      <w:r w:rsidR="007F6079" w:rsidRPr="00EE17D7">
        <w:rPr>
          <w:rFonts w:hint="eastAsia"/>
          <w:color w:val="000000" w:themeColor="text1"/>
          <w:lang w:val="en-US" w:eastAsia="zh-CN"/>
        </w:rPr>
        <w:t>7</w:t>
      </w:r>
      <w:r w:rsidR="00AA448F" w:rsidRPr="00EE17D7">
        <w:rPr>
          <w:color w:val="000000" w:themeColor="text1"/>
          <w:lang w:val="en-US" w:eastAsia="zh-CN"/>
        </w:rPr>
        <w:t>], [</w:t>
      </w:r>
      <w:r w:rsidR="007F6079" w:rsidRPr="00EE17D7">
        <w:rPr>
          <w:rFonts w:hint="eastAsia"/>
          <w:color w:val="000000" w:themeColor="text1"/>
          <w:lang w:val="en-US" w:eastAsia="zh-CN"/>
        </w:rPr>
        <w:t>8</w:t>
      </w:r>
      <w:r w:rsidR="00AA448F" w:rsidRPr="00EE17D7">
        <w:rPr>
          <w:color w:val="000000" w:themeColor="text1"/>
          <w:lang w:val="en-US" w:eastAsia="zh-CN"/>
        </w:rPr>
        <w:t>].</w:t>
      </w:r>
      <w:r w:rsidR="007140CD" w:rsidRPr="00EE17D7">
        <w:rPr>
          <w:color w:val="000000" w:themeColor="text1"/>
          <w:lang w:val="en-US" w:eastAsia="zh-CN"/>
        </w:rPr>
        <w:t xml:space="preserve"> </w:t>
      </w:r>
      <w:r w:rsidR="00AA448F" w:rsidRPr="00EE17D7">
        <w:rPr>
          <w:color w:val="000000" w:themeColor="text1"/>
          <w:highlight w:val="yellow"/>
          <w:lang w:val="en-US" w:eastAsia="zh-CN"/>
        </w:rPr>
        <w:t>At larger scales, topology becomes an equally important part of the communication problem.</w:t>
      </w:r>
      <w:r w:rsidR="00AA448F" w:rsidRPr="00AA448F">
        <w:rPr>
          <w:spacing w:val="0"/>
          <w:lang w:val="en-US" w:eastAsia="en-US"/>
        </w:rPr>
        <w:t xml:space="preserve"> </w:t>
      </w:r>
      <w:r w:rsidR="00AA448F" w:rsidRPr="00AA448F">
        <w:rPr>
          <w:color w:val="000000" w:themeColor="text1"/>
          <w:lang w:val="en-US" w:eastAsia="zh-CN"/>
        </w:rPr>
        <w:t>In a</w:t>
      </w:r>
      <w:r w:rsidR="001E5FF0">
        <w:rPr>
          <w:rFonts w:hint="eastAsia"/>
          <w:color w:val="000000" w:themeColor="text1"/>
          <w:lang w:val="en-US" w:eastAsia="zh-CN"/>
        </w:rPr>
        <w:t xml:space="preserve"> conventional</w:t>
      </w:r>
      <w:r w:rsidR="00AA448F" w:rsidRPr="00AA448F">
        <w:rPr>
          <w:color w:val="000000" w:themeColor="text1"/>
          <w:lang w:val="en-US" w:eastAsia="zh-CN"/>
        </w:rPr>
        <w:t xml:space="preserve"> flat 2-D mesh</w:t>
      </w:r>
      <w:r w:rsidR="001E5FF0">
        <w:rPr>
          <w:rFonts w:hint="eastAsia"/>
          <w:color w:val="000000" w:themeColor="text1"/>
          <w:lang w:val="en-US" w:eastAsia="zh-CN"/>
        </w:rPr>
        <w:t xml:space="preserve"> network</w:t>
      </w:r>
      <w:r w:rsidR="00AA448F" w:rsidRPr="00AA448F">
        <w:rPr>
          <w:color w:val="000000" w:themeColor="text1"/>
          <w:lang w:val="en-US" w:eastAsia="zh-CN"/>
        </w:rPr>
        <w:t>, routing resources remain directly associated with the endpoint array, while long-distance packets traverse more routers as the network grow</w:t>
      </w:r>
      <w:r w:rsidR="001E5FF0">
        <w:rPr>
          <w:rFonts w:hint="eastAsia"/>
          <w:color w:val="000000" w:themeColor="text1"/>
          <w:lang w:val="en-US" w:eastAsia="zh-CN"/>
        </w:rPr>
        <w:t>.</w:t>
      </w:r>
      <w:r w:rsidR="00AA448F">
        <w:rPr>
          <w:rFonts w:hint="eastAsia"/>
          <w:color w:val="000000" w:themeColor="text1"/>
          <w:lang w:val="en-US" w:eastAsia="zh-CN"/>
        </w:rPr>
        <w:t xml:space="preserve"> </w:t>
      </w:r>
      <w:r w:rsidR="001E5FF0">
        <w:rPr>
          <w:rFonts w:hint="eastAsia"/>
          <w:color w:val="000000" w:themeColor="text1"/>
          <w:lang w:val="en-US" w:eastAsia="zh-CN"/>
        </w:rPr>
        <w:t>H</w:t>
      </w:r>
      <w:r w:rsidR="00AA448F" w:rsidRPr="00AA448F">
        <w:rPr>
          <w:color w:val="000000" w:themeColor="text1"/>
          <w:lang w:val="en-US" w:eastAsia="zh-CN"/>
        </w:rPr>
        <w:t>ierarchical organizations provide another scaling approach by handling nearby communication within smaller groups and using an upper network only when traffic leaves those groups [1].</w:t>
      </w:r>
      <w:r w:rsidR="00AA448F" w:rsidRPr="00AA448F">
        <w:rPr>
          <w:spacing w:val="0"/>
          <w:lang w:val="en-US" w:eastAsia="en-US"/>
        </w:rPr>
        <w:t xml:space="preserve"> </w:t>
      </w:r>
      <w:r w:rsidR="00AA448F" w:rsidRPr="00EE17D7">
        <w:rPr>
          <w:color w:val="000000" w:themeColor="text1"/>
          <w:highlight w:val="yellow"/>
          <w:lang w:val="en-US" w:eastAsia="zh-CN"/>
        </w:rPr>
        <w:t>The scale-out challenge</w:t>
      </w:r>
      <w:r w:rsidR="00AA448F" w:rsidRPr="00AA448F">
        <w:rPr>
          <w:color w:val="000000" w:themeColor="text1"/>
          <w:lang w:val="en-US" w:eastAsia="zh-CN"/>
        </w:rPr>
        <w:t xml:space="preserve"> is therefore to retain efficient multicast while </w:t>
      </w:r>
      <w:r w:rsidR="001E5FF0">
        <w:rPr>
          <w:rFonts w:hint="eastAsia"/>
          <w:color w:val="000000" w:themeColor="text1"/>
          <w:lang w:val="en-US" w:eastAsia="zh-CN"/>
        </w:rPr>
        <w:t>reducing</w:t>
      </w:r>
      <w:r w:rsidR="00AA448F" w:rsidRPr="00AA448F">
        <w:rPr>
          <w:color w:val="000000" w:themeColor="text1"/>
          <w:lang w:val="en-US" w:eastAsia="zh-CN"/>
        </w:rPr>
        <w:t xml:space="preserve"> the </w:t>
      </w:r>
      <w:r w:rsidR="001E5FF0">
        <w:rPr>
          <w:rFonts w:hint="eastAsia"/>
          <w:color w:val="000000" w:themeColor="text1"/>
          <w:lang w:val="en-US" w:eastAsia="zh-CN"/>
        </w:rPr>
        <w:t>amount of routing</w:t>
      </w:r>
      <w:r w:rsidR="00AA448F" w:rsidRPr="00AA448F">
        <w:rPr>
          <w:color w:val="000000" w:themeColor="text1"/>
          <w:lang w:val="en-US" w:eastAsia="zh-CN"/>
        </w:rPr>
        <w:t xml:space="preserve"> structure</w:t>
      </w:r>
      <w:r w:rsidR="001E5FF0">
        <w:rPr>
          <w:rFonts w:hint="eastAsia"/>
          <w:color w:val="000000" w:themeColor="text1"/>
          <w:lang w:val="en-US" w:eastAsia="zh-CN"/>
        </w:rPr>
        <w:t xml:space="preserve"> and traffic exposed to the global network as the number of PEs </w:t>
      </w:r>
      <w:proofErr w:type="gramStart"/>
      <w:r w:rsidR="001E5FF0">
        <w:rPr>
          <w:rFonts w:hint="eastAsia"/>
          <w:color w:val="000000" w:themeColor="text1"/>
          <w:lang w:val="en-US" w:eastAsia="zh-CN"/>
        </w:rPr>
        <w:t>grows</w:t>
      </w:r>
      <w:r w:rsidR="00AA448F" w:rsidRPr="00AA448F">
        <w:rPr>
          <w:color w:val="000000" w:themeColor="text1"/>
          <w:lang w:val="en-US" w:eastAsia="zh-CN"/>
        </w:rPr>
        <w:t>.</w:t>
      </w:r>
      <w:r w:rsidR="00A454C9">
        <w:rPr>
          <w:rFonts w:hint="eastAsia"/>
          <w:color w:val="000000" w:themeColor="text1"/>
          <w:lang w:val="en-US" w:eastAsia="zh-CN"/>
        </w:rPr>
        <w:t>(</w:t>
      </w:r>
      <w:proofErr w:type="gramEnd"/>
      <w:r w:rsidR="00A454C9">
        <w:rPr>
          <w:rFonts w:hint="eastAsia"/>
          <w:color w:val="000000" w:themeColor="text1"/>
          <w:lang w:val="en-US" w:eastAsia="zh-CN"/>
        </w:rPr>
        <w:t>Main topic: Scale out problem of NoC)</w:t>
      </w:r>
    </w:p>
    <w:p w14:paraId="6361BFE4" w14:textId="0DECD4AC" w:rsidR="00A454C9" w:rsidRPr="00A454C9" w:rsidRDefault="00A454C9" w:rsidP="006B741D">
      <w:pPr>
        <w:pStyle w:val="a3"/>
        <w:ind w:firstLine="0pt"/>
        <w:rPr>
          <w:rFonts w:hint="eastAsia"/>
          <w:color w:val="000000" w:themeColor="text1"/>
          <w:lang w:val="en-US" w:eastAsia="zh-CN"/>
        </w:rPr>
      </w:pPr>
      <w:r>
        <w:rPr>
          <w:color w:val="000000" w:themeColor="text1"/>
          <w:lang w:val="en-US" w:eastAsia="zh-CN"/>
        </w:rPr>
        <w:tab/>
      </w:r>
      <w:r>
        <w:rPr>
          <w:rFonts w:hint="eastAsia"/>
          <w:color w:val="000000" w:themeColor="text1"/>
          <w:lang w:val="en-US" w:eastAsia="zh-CN"/>
        </w:rPr>
        <w:t>Figure.1: Multicast &amp; Topology</w:t>
      </w:r>
    </w:p>
    <w:p w14:paraId="0422D646" w14:textId="5085DF52" w:rsidR="005656F8" w:rsidRDefault="005656F8" w:rsidP="006E6BCA">
      <w:pPr>
        <w:pStyle w:val="a3"/>
        <w:rPr>
          <w:rFonts w:hint="eastAsia"/>
          <w:lang w:val="en-US" w:eastAsia="zh-CN"/>
        </w:rPr>
      </w:pPr>
      <w:r w:rsidRPr="005656F8">
        <w:rPr>
          <w:lang w:val="en-US" w:eastAsia="zh-CN"/>
        </w:rPr>
        <w:t xml:space="preserve">Existing </w:t>
      </w:r>
      <w:proofErr w:type="spellStart"/>
      <w:r w:rsidRPr="005656F8">
        <w:rPr>
          <w:lang w:val="en-US" w:eastAsia="zh-CN"/>
        </w:rPr>
        <w:t>NoCs</w:t>
      </w:r>
      <w:proofErr w:type="spellEnd"/>
      <w:r w:rsidRPr="005656F8">
        <w:rPr>
          <w:lang w:val="en-US" w:eastAsia="zh-CN"/>
        </w:rPr>
        <w:t xml:space="preserve"> address different parts of this </w:t>
      </w:r>
      <w:r w:rsidRPr="00A454C9">
        <w:rPr>
          <w:color w:val="000000" w:themeColor="text1"/>
          <w:lang w:val="en-US" w:eastAsia="zh-CN"/>
        </w:rPr>
        <w:t xml:space="preserve">scale-out </w:t>
      </w:r>
      <w:r w:rsidRPr="005656F8">
        <w:rPr>
          <w:lang w:val="en-US" w:eastAsia="zh-CN"/>
        </w:rPr>
        <w:t xml:space="preserve">problem. </w:t>
      </w:r>
      <w:r w:rsidRPr="00EE17D7">
        <w:rPr>
          <w:color w:val="000000" w:themeColor="text1"/>
          <w:highlight w:val="yellow"/>
          <w:lang w:val="en-US" w:eastAsia="zh-CN"/>
        </w:rPr>
        <w:t>One approach is to extend a regular mesh through system tilin</w:t>
      </w:r>
      <w:r w:rsidR="00EE17D7">
        <w:rPr>
          <w:rFonts w:hint="eastAsia"/>
          <w:color w:val="000000" w:themeColor="text1"/>
          <w:lang w:val="en-US" w:eastAsia="zh-CN"/>
        </w:rPr>
        <w:t xml:space="preserve">g. </w:t>
      </w:r>
      <w:r w:rsidRPr="005656F8">
        <w:rPr>
          <w:lang w:val="en-US" w:eastAsia="zh-CN"/>
        </w:rPr>
        <w:t xml:space="preserve">IBM TrueNorth supports seamless 2-D chip tiling, while Intel </w:t>
      </w:r>
      <w:proofErr w:type="spellStart"/>
      <w:r w:rsidRPr="005656F8">
        <w:rPr>
          <w:lang w:val="en-US" w:eastAsia="zh-CN"/>
        </w:rPr>
        <w:t>Loihi</w:t>
      </w:r>
      <w:proofErr w:type="spellEnd"/>
      <w:r w:rsidRPr="005656F8">
        <w:rPr>
          <w:lang w:val="en-US" w:eastAsia="zh-CN"/>
        </w:rPr>
        <w:t xml:space="preserve"> 2 extends its on-chip mesh through parallel interfaces and has been scaled to 1,152 processors in the Hala Point system </w:t>
      </w:r>
      <w:r w:rsidR="004710EB">
        <w:rPr>
          <w:rFonts w:hint="eastAsia"/>
          <w:lang w:val="en-US" w:eastAsia="zh-CN"/>
        </w:rPr>
        <w:t>[9], [10], [11]</w:t>
      </w:r>
      <w:r w:rsidRPr="005656F8">
        <w:rPr>
          <w:lang w:val="en-US" w:eastAsia="zh-CN"/>
        </w:rPr>
        <w:t xml:space="preserve">. Such systems demonstrate that regular mesh fabrics can reach very large scales through tiled integration and substantial communication bandwidth. </w:t>
      </w:r>
      <w:r w:rsidRPr="00EE17D7">
        <w:rPr>
          <w:color w:val="000000" w:themeColor="text1"/>
          <w:highlight w:val="yellow"/>
          <w:lang w:val="en-US" w:eastAsia="zh-CN"/>
        </w:rPr>
        <w:t xml:space="preserve">Hierarchical </w:t>
      </w:r>
      <w:proofErr w:type="spellStart"/>
      <w:r w:rsidRPr="00EE17D7">
        <w:rPr>
          <w:color w:val="000000" w:themeColor="text1"/>
          <w:highlight w:val="yellow"/>
          <w:lang w:val="en-US" w:eastAsia="zh-CN"/>
        </w:rPr>
        <w:t>NoCs</w:t>
      </w:r>
      <w:proofErr w:type="spellEnd"/>
      <w:r w:rsidRPr="00EE17D7">
        <w:rPr>
          <w:color w:val="000000" w:themeColor="text1"/>
          <w:highlight w:val="yellow"/>
          <w:lang w:val="en-US" w:eastAsia="zh-CN"/>
        </w:rPr>
        <w:t xml:space="preserve"> provide another approach by keeping local traffic away from the upper network</w:t>
      </w:r>
      <w:r w:rsidRPr="00EE17D7">
        <w:rPr>
          <w:highlight w:val="yellow"/>
          <w:lang w:val="en-US" w:eastAsia="zh-CN"/>
        </w:rPr>
        <w:t>.</w:t>
      </w:r>
      <w:r w:rsidRPr="005656F8">
        <w:rPr>
          <w:lang w:val="en-US" w:eastAsia="zh-CN"/>
        </w:rPr>
        <w:t xml:space="preserve"> DYNAPs combines R1/R2 hierarchical routing with an R3 2-D mesh and reports </w:t>
      </w:r>
      <w:r w:rsidRPr="005656F8">
        <w:rPr>
          <w:lang w:val="en-US" w:eastAsia="zh-CN"/>
        </w:rPr>
        <w:t>that its hierarchy significantly reduces the traffic reaching R3 compared with a plain 2-D mesh [1]. However, communication to remote targets is generated as point-to-point copies and forwarded through R3 according to their individual mesh destinations. PAICORE instead supports multicast in a five-level quadtree whose number of parallel data paths progressively increases toward the root [1</w:t>
      </w:r>
      <w:r w:rsidR="004710EB">
        <w:rPr>
          <w:rFonts w:hint="eastAsia"/>
          <w:lang w:val="en-US" w:eastAsia="zh-CN"/>
        </w:rPr>
        <w:t>2</w:t>
      </w:r>
      <w:r w:rsidRPr="005656F8">
        <w:rPr>
          <w:lang w:val="en-US" w:eastAsia="zh-CN"/>
        </w:rPr>
        <w:t xml:space="preserve">]. Its routing nodes remain locally clocked domains connected through asynchronous two-phase interfaces, while its 2-D mesh is used for communication between chips rather than between local on-chip clusters. Recent designs have further explored multicast in two-tier </w:t>
      </w:r>
      <w:proofErr w:type="spellStart"/>
      <w:r w:rsidRPr="005656F8">
        <w:rPr>
          <w:lang w:val="en-US" w:eastAsia="zh-CN"/>
        </w:rPr>
        <w:t>NoCs</w:t>
      </w:r>
      <w:proofErr w:type="spellEnd"/>
      <w:r w:rsidRPr="005656F8">
        <w:rPr>
          <w:lang w:val="en-US" w:eastAsia="zh-CN"/>
        </w:rPr>
        <w:t>, hierarchical Mesh-of-Trees organizations, and fully asynchronous hierarchical multicast trees [1</w:t>
      </w:r>
      <w:r w:rsidR="004710EB">
        <w:rPr>
          <w:rFonts w:hint="eastAsia"/>
          <w:lang w:val="en-US" w:eastAsia="zh-CN"/>
        </w:rPr>
        <w:t>3</w:t>
      </w:r>
      <w:r w:rsidRPr="005656F8">
        <w:rPr>
          <w:lang w:val="en-US" w:eastAsia="zh-CN"/>
        </w:rPr>
        <w:t>]</w:t>
      </w:r>
      <w:r>
        <w:rPr>
          <w:rFonts w:hint="eastAsia"/>
          <w:lang w:val="en-US" w:eastAsia="zh-CN"/>
        </w:rPr>
        <w:t>, [1</w:t>
      </w:r>
      <w:r w:rsidR="004710EB">
        <w:rPr>
          <w:rFonts w:hint="eastAsia"/>
          <w:lang w:val="en-US" w:eastAsia="zh-CN"/>
        </w:rPr>
        <w:t>4</w:t>
      </w:r>
      <w:r>
        <w:rPr>
          <w:rFonts w:hint="eastAsia"/>
          <w:lang w:val="en-US" w:eastAsia="zh-CN"/>
        </w:rPr>
        <w:t xml:space="preserve">], </w:t>
      </w:r>
      <w:r w:rsidRPr="005656F8">
        <w:rPr>
          <w:lang w:val="en-US" w:eastAsia="zh-CN"/>
        </w:rPr>
        <w:t>[1</w:t>
      </w:r>
      <w:r w:rsidR="004710EB">
        <w:rPr>
          <w:rFonts w:hint="eastAsia"/>
          <w:lang w:val="en-US" w:eastAsia="zh-CN"/>
        </w:rPr>
        <w:t>5</w:t>
      </w:r>
      <w:r w:rsidRPr="005656F8">
        <w:rPr>
          <w:lang w:val="en-US" w:eastAsia="zh-CN"/>
        </w:rPr>
        <w:t xml:space="preserve">]. </w:t>
      </w:r>
      <w:r w:rsidR="00F47BDC" w:rsidRPr="00A454C9">
        <w:rPr>
          <w:highlight w:val="yellow"/>
          <w:lang w:val="en-US" w:eastAsia="zh-CN"/>
        </w:rPr>
        <w:t>These works extend multicast and hierarchical communication in different directions</w:t>
      </w:r>
      <w:r w:rsidR="00F47BDC" w:rsidRPr="00F47BDC">
        <w:rPr>
          <w:lang w:val="en-US" w:eastAsia="zh-CN"/>
        </w:rPr>
        <w:t xml:space="preserve">, but do not provide a fully asynchronous architecture in which </w:t>
      </w:r>
      <w:r w:rsidR="00F47BDC" w:rsidRPr="00A454C9">
        <w:rPr>
          <w:highlight w:val="yellow"/>
          <w:lang w:val="en-US" w:eastAsia="zh-CN"/>
        </w:rPr>
        <w:t>a multicast transaction remains multicast while traversing both local tree structures and an upper on-chip mesh</w:t>
      </w:r>
      <w:r w:rsidR="00F47BDC" w:rsidRPr="00F47BDC">
        <w:rPr>
          <w:lang w:val="en-US" w:eastAsia="zh-CN"/>
        </w:rPr>
        <w:t>, without being converted into separate point-to-point transactions for different clusters.</w:t>
      </w:r>
      <w:r w:rsidRPr="005656F8">
        <w:rPr>
          <w:lang w:val="en-US" w:eastAsia="zh-CN"/>
        </w:rPr>
        <w:t xml:space="preserve"> Implementing this communication with multiple physical lanes in a fully asynchronous network introduces a second challenge, </w:t>
      </w:r>
      <w:r w:rsidRPr="00A454C9">
        <w:rPr>
          <w:highlight w:val="yellow"/>
          <w:lang w:val="en-US" w:eastAsia="zh-CN"/>
        </w:rPr>
        <w:t>since lane selection and arbitration must maintain the correct two-phase handshake state without relying on local clocks</w:t>
      </w:r>
      <w:r w:rsidRPr="005656F8">
        <w:rPr>
          <w:lang w:val="en-US" w:eastAsia="zh-CN"/>
        </w:rPr>
        <w:t>.</w:t>
      </w:r>
      <w:r>
        <w:rPr>
          <w:rFonts w:hint="eastAsia"/>
          <w:lang w:val="en-US" w:eastAsia="zh-CN"/>
        </w:rPr>
        <w:t xml:space="preserve"> </w:t>
      </w:r>
      <w:r w:rsidR="00A454C9">
        <w:rPr>
          <w:rFonts w:hint="eastAsia"/>
          <w:lang w:val="en-US" w:eastAsia="zh-CN"/>
        </w:rPr>
        <w:t xml:space="preserve">(multicast algorithm &amp; </w:t>
      </w:r>
      <w:proofErr w:type="spellStart"/>
      <w:r w:rsidR="00A454C9">
        <w:rPr>
          <w:rFonts w:hint="eastAsia"/>
          <w:lang w:val="en-US" w:eastAsia="zh-CN"/>
        </w:rPr>
        <w:t>laneSelction</w:t>
      </w:r>
      <w:proofErr w:type="spellEnd"/>
      <w:r w:rsidR="00A454C9">
        <w:rPr>
          <w:rFonts w:hint="eastAsia"/>
          <w:lang w:val="en-US" w:eastAsia="zh-CN"/>
        </w:rPr>
        <w:t>)</w:t>
      </w:r>
    </w:p>
    <w:p w14:paraId="13CA1FCB" w14:textId="166C3733" w:rsidR="005656F8" w:rsidRDefault="005656F8" w:rsidP="005656F8">
      <w:pPr>
        <w:pStyle w:val="a3"/>
        <w:ind w:firstLine="0pt"/>
        <w:rPr>
          <w:lang w:val="en-US" w:eastAsia="zh-CN"/>
        </w:rPr>
      </w:pPr>
      <w:r>
        <w:rPr>
          <w:lang w:val="en-US" w:eastAsia="zh-CN"/>
        </w:rPr>
        <w:tab/>
      </w:r>
      <w:r w:rsidR="00F47BDC" w:rsidRPr="00F47BDC">
        <w:rPr>
          <w:lang w:val="en-US" w:eastAsia="zh-CN"/>
        </w:rPr>
        <w:t xml:space="preserve">To address these challenges, we propose </w:t>
      </w:r>
      <w:r w:rsidR="00F47BDC" w:rsidRPr="00A454C9">
        <w:rPr>
          <w:highlight w:val="yellow"/>
          <w:lang w:val="en-US" w:eastAsia="zh-CN"/>
        </w:rPr>
        <w:t>a fully asynchronous hierarchical NoC</w:t>
      </w:r>
      <w:r w:rsidR="00F47BDC" w:rsidRPr="00F47BDC">
        <w:rPr>
          <w:lang w:val="en-US" w:eastAsia="zh-CN"/>
        </w:rPr>
        <w:t xml:space="preserve"> in which PEs are organized into local trees and these trees are connected by an on-chip 2-D mesh. A source injects one multicast packet, which is replicated as needed in both parts of the network without being reinjected as separate unicast packets when communication crosses the boundary between the tree and mesh. The two parts use the same destination description but apply different routing rules suited to their respective topologies, allowing the multicast transaction to continue through the complete hierarchy. Each local tree uses </w:t>
      </w:r>
      <w:r w:rsidR="00F47BDC" w:rsidRPr="00A454C9">
        <w:rPr>
          <w:highlight w:val="yellow"/>
          <w:lang w:val="en-US" w:eastAsia="zh-CN"/>
        </w:rPr>
        <w:t>a limited number of parallel physical lanes to provide additional bandwidth without allowing the number of lanes to continue increasing toward the upper levels</w:t>
      </w:r>
      <w:r w:rsidR="00F47BDC" w:rsidRPr="00F47BDC">
        <w:rPr>
          <w:lang w:val="en-US" w:eastAsia="zh-CN"/>
        </w:rPr>
        <w:t>. To operate these lanes entirely under two-phase asynchronous control, each multicast branch is assigned to one physical lane until the packet completes, while the control logic maintains the correct handshake state during lane selection and arbitration.</w:t>
      </w:r>
    </w:p>
    <w:p w14:paraId="2FCCCD30" w14:textId="4C327A0C" w:rsidR="005656F8" w:rsidRPr="005656F8" w:rsidRDefault="005656F8" w:rsidP="005656F8">
      <w:pPr>
        <w:pStyle w:val="a3"/>
        <w:ind w:firstLine="0pt"/>
        <w:rPr>
          <w:lang w:val="en-US" w:eastAsia="zh-CN"/>
        </w:rPr>
      </w:pPr>
      <w:r>
        <w:rPr>
          <w:lang w:val="en-US" w:eastAsia="zh-CN"/>
        </w:rPr>
        <w:tab/>
      </w:r>
      <w:r w:rsidRPr="005656F8">
        <w:rPr>
          <w:lang w:val="en-US" w:eastAsia="zh-CN"/>
        </w:rPr>
        <w:t>Together, these design choices allow multicast communication to span the complete hierarchy while preserving fully asynchronous operation. The main contributions of this work are summarized as follows:</w:t>
      </w:r>
    </w:p>
    <w:p w14:paraId="5EE88433" w14:textId="4FCC21BB" w:rsidR="005656F8" w:rsidRPr="005656F8" w:rsidRDefault="005656F8" w:rsidP="005656F8">
      <w:pPr>
        <w:pStyle w:val="a3"/>
        <w:rPr>
          <w:rFonts w:hint="eastAsia"/>
          <w:lang w:val="en-US" w:eastAsia="zh-CN"/>
        </w:rPr>
      </w:pPr>
      <w:r w:rsidRPr="005656F8">
        <w:rPr>
          <w:b/>
          <w:bCs/>
          <w:lang w:val="en-US" w:eastAsia="zh-CN"/>
        </w:rPr>
        <w:t>•</w:t>
      </w:r>
      <w:r w:rsidR="00F47BDC" w:rsidRPr="00F47BDC">
        <w:rPr>
          <w:b/>
          <w:bCs/>
          <w:spacing w:val="0"/>
          <w:lang w:val="en-US" w:eastAsia="en-US"/>
        </w:rPr>
        <w:t xml:space="preserve"> </w:t>
      </w:r>
      <w:r w:rsidR="00F47BDC" w:rsidRPr="00791B26">
        <w:rPr>
          <w:b/>
          <w:bCs/>
          <w:highlight w:val="yellow"/>
          <w:lang w:val="en-US" w:eastAsia="zh-CN"/>
        </w:rPr>
        <w:t>Multicast routing across local trees and an upper mesh.</w:t>
      </w:r>
      <w:r w:rsidR="00F47BDC" w:rsidRPr="00F47BDC">
        <w:rPr>
          <w:b/>
          <w:bCs/>
          <w:lang w:val="en-US" w:eastAsia="zh-CN"/>
        </w:rPr>
        <w:t xml:space="preserve"> </w:t>
      </w:r>
      <w:r w:rsidR="00F47BDC" w:rsidRPr="00F47BDC">
        <w:rPr>
          <w:lang w:val="en-US" w:eastAsia="zh-CN"/>
        </w:rPr>
        <w:t xml:space="preserve">We use the same destination description in both parts of the network and develop routing methods suited to each topology. A multicast transaction initiated by a single source injection can be routed and replicated through the upper mesh </w:t>
      </w:r>
      <w:r w:rsidR="00F47BDC" w:rsidRPr="00F47BDC">
        <w:rPr>
          <w:lang w:val="en-US" w:eastAsia="zh-CN"/>
        </w:rPr>
        <w:lastRenderedPageBreak/>
        <w:t xml:space="preserve">and subsequently distributed within the destination trees without being converted into separate unicast transactions for individual </w:t>
      </w:r>
      <w:proofErr w:type="gramStart"/>
      <w:r w:rsidR="00F47BDC" w:rsidRPr="00F47BDC">
        <w:rPr>
          <w:lang w:val="en-US" w:eastAsia="zh-CN"/>
        </w:rPr>
        <w:t>clusters.</w:t>
      </w:r>
      <w:r w:rsidR="00791B26">
        <w:rPr>
          <w:rFonts w:hint="eastAsia"/>
          <w:lang w:val="en-US" w:eastAsia="zh-CN"/>
        </w:rPr>
        <w:t>(</w:t>
      </w:r>
      <w:proofErr w:type="gramEnd"/>
      <w:r w:rsidR="00791B26">
        <w:rPr>
          <w:rFonts w:hint="eastAsia"/>
          <w:lang w:val="en-US" w:eastAsia="zh-CN"/>
        </w:rPr>
        <w:t>routing-based algorithms)</w:t>
      </w:r>
    </w:p>
    <w:p w14:paraId="19248999" w14:textId="10C05CAB" w:rsidR="005656F8" w:rsidRPr="005656F8" w:rsidRDefault="005656F8" w:rsidP="005656F8">
      <w:pPr>
        <w:pStyle w:val="a3"/>
        <w:rPr>
          <w:rFonts w:hint="eastAsia"/>
          <w:lang w:val="en-US" w:eastAsia="zh-CN"/>
        </w:rPr>
      </w:pPr>
      <w:r w:rsidRPr="00791B26">
        <w:rPr>
          <w:b/>
          <w:bCs/>
          <w:highlight w:val="yellow"/>
          <w:lang w:val="en-US" w:eastAsia="zh-CN"/>
        </w:rPr>
        <w:t>• Fully asynchronous control of multiple physical lanes</w:t>
      </w:r>
      <w:r w:rsidRPr="005656F8">
        <w:rPr>
          <w:b/>
          <w:bCs/>
          <w:lang w:val="en-US" w:eastAsia="zh-CN"/>
        </w:rPr>
        <w:t>.</w:t>
      </w:r>
      <w:r w:rsidRPr="005656F8">
        <w:rPr>
          <w:lang w:val="en-US" w:eastAsia="zh-CN"/>
        </w:rPr>
        <w:t xml:space="preserve"> We allow each multicast branch to use an available physical lane while keeping that lane assigned until the packet completes. The control logic maintains the correct state of the two-phase handshake during lane selection and arbitration, enabling dynamic lane use without local clocks.</w:t>
      </w:r>
      <w:r w:rsidR="00C55E4D">
        <w:rPr>
          <w:rFonts w:hint="eastAsia"/>
          <w:lang w:val="en-US" w:eastAsia="zh-CN"/>
        </w:rPr>
        <w:t xml:space="preserve"> </w:t>
      </w:r>
      <w:proofErr w:type="gramStart"/>
      <w:r w:rsidR="00791B26">
        <w:rPr>
          <w:rFonts w:hint="eastAsia"/>
          <w:lang w:val="en-US" w:eastAsia="zh-CN"/>
        </w:rPr>
        <w:t>(</w:t>
      </w:r>
      <w:proofErr w:type="gramEnd"/>
      <w:r w:rsidR="00791B26">
        <w:rPr>
          <w:rFonts w:hint="eastAsia"/>
          <w:lang w:val="en-US" w:eastAsia="zh-CN"/>
        </w:rPr>
        <w:t>multi-lane adapta</w:t>
      </w:r>
      <w:r w:rsidR="00C55E4D">
        <w:rPr>
          <w:rFonts w:hint="eastAsia"/>
          <w:lang w:val="en-US" w:eastAsia="zh-CN"/>
        </w:rPr>
        <w:t>tion</w:t>
      </w:r>
      <w:r w:rsidR="00791B26">
        <w:rPr>
          <w:rFonts w:hint="eastAsia"/>
          <w:lang w:val="en-US" w:eastAsia="zh-CN"/>
        </w:rPr>
        <w:t>)</w:t>
      </w:r>
    </w:p>
    <w:p w14:paraId="0CF66E0B" w14:textId="1CF0056C" w:rsidR="005656F8" w:rsidRPr="005656F8" w:rsidRDefault="005656F8" w:rsidP="005656F8">
      <w:pPr>
        <w:pStyle w:val="a3"/>
        <w:rPr>
          <w:rFonts w:hint="eastAsia"/>
          <w:lang w:val="en-US" w:eastAsia="zh-CN"/>
        </w:rPr>
      </w:pPr>
      <w:r w:rsidRPr="005656F8">
        <w:rPr>
          <w:b/>
          <w:bCs/>
          <w:lang w:val="en-US" w:eastAsia="zh-CN"/>
        </w:rPr>
        <w:t xml:space="preserve">• </w:t>
      </w:r>
      <w:r w:rsidRPr="00791B26">
        <w:rPr>
          <w:b/>
          <w:bCs/>
          <w:highlight w:val="yellow"/>
          <w:lang w:val="en-US" w:eastAsia="zh-CN"/>
        </w:rPr>
        <w:t>A scale-out NoC organization with local trees and an upper on-chip mesh</w:t>
      </w:r>
      <w:r w:rsidRPr="005656F8">
        <w:rPr>
          <w:b/>
          <w:bCs/>
          <w:lang w:val="en-US" w:eastAsia="zh-CN"/>
        </w:rPr>
        <w:t>.</w:t>
      </w:r>
      <w:r w:rsidRPr="005656F8">
        <w:rPr>
          <w:lang w:val="en-US" w:eastAsia="zh-CN"/>
        </w:rPr>
        <w:t xml:space="preserve"> We organize PEs into local trees with a fixed number of levels and connect these trees through an on-chip 2-D mesh. A </w:t>
      </w:r>
      <w:r w:rsidRPr="00FE6793">
        <w:rPr>
          <w:highlight w:val="yellow"/>
          <w:lang w:val="en-US" w:eastAsia="zh-CN"/>
        </w:rPr>
        <w:t>limited number of parallel physical lanes</w:t>
      </w:r>
      <w:r w:rsidRPr="005656F8">
        <w:rPr>
          <w:lang w:val="en-US" w:eastAsia="zh-CN"/>
        </w:rPr>
        <w:t xml:space="preserve"> provides additional bandwidth inside each tree, while system size increases by adding tree clusters to the mesh rather than by continuously extending a single hierarchy.</w:t>
      </w:r>
    </w:p>
    <w:p w14:paraId="29384D66" w14:textId="63AB74EB" w:rsidR="009303D9" w:rsidRDefault="00791B26" w:rsidP="006B6B66">
      <w:pPr>
        <w:pStyle w:val="1"/>
        <w:rPr>
          <w:lang w:eastAsia="zh-CN"/>
        </w:rPr>
      </w:pPr>
      <w:r>
        <w:rPr>
          <w:rFonts w:hint="eastAsia"/>
          <w:lang w:eastAsia="zh-CN"/>
        </w:rPr>
        <w:t>Backgroud &amp; Motivation</w:t>
      </w:r>
    </w:p>
    <w:p w14:paraId="7C03425D" w14:textId="6F65A67D" w:rsidR="00791B26" w:rsidRPr="00791B26" w:rsidRDefault="00791B26" w:rsidP="00791B26">
      <w:pPr>
        <w:jc w:val="both"/>
        <w:rPr>
          <w:rFonts w:hint="eastAsia"/>
          <w:lang w:eastAsia="zh-CN"/>
        </w:rPr>
      </w:pPr>
      <w:r>
        <w:rPr>
          <w:rFonts w:hint="eastAsia"/>
          <w:lang w:eastAsia="zh-CN"/>
        </w:rPr>
        <w:t xml:space="preserve">Asynchronous Router design </w:t>
      </w:r>
      <w:r>
        <w:rPr>
          <w:lang w:eastAsia="zh-CN"/>
        </w:rPr>
        <w:t>–</w:t>
      </w:r>
      <w:r>
        <w:rPr>
          <w:rFonts w:hint="eastAsia"/>
          <w:lang w:eastAsia="zh-CN"/>
        </w:rPr>
        <w:t xml:space="preserve"> NoC structure - Propose</w:t>
      </w:r>
    </w:p>
    <w:p w14:paraId="6FFDF90D" w14:textId="2AB80AB9" w:rsidR="009303D9" w:rsidRDefault="00C21520" w:rsidP="00ED0149">
      <w:pPr>
        <w:pStyle w:val="2"/>
      </w:pPr>
      <w:r w:rsidRPr="00C21520">
        <w:t>Asynchronous NoC Communication</w:t>
      </w:r>
    </w:p>
    <w:p w14:paraId="337DFBE3" w14:textId="144358DA" w:rsidR="00791B26" w:rsidRPr="00791B26" w:rsidRDefault="00791B26" w:rsidP="00791B26">
      <w:pPr>
        <w:pStyle w:val="a3"/>
        <w:rPr>
          <w:lang w:eastAsia="zh-CN"/>
        </w:rPr>
      </w:pPr>
      <w:r w:rsidRPr="00791B26">
        <w:rPr>
          <w:lang w:eastAsia="zh-CN"/>
        </w:rPr>
        <w:t xml:space="preserve">Asynchronous </w:t>
      </w:r>
      <w:proofErr w:type="spellStart"/>
      <w:r w:rsidRPr="00791B26">
        <w:rPr>
          <w:lang w:eastAsia="zh-CN"/>
        </w:rPr>
        <w:t>NoCs</w:t>
      </w:r>
      <w:proofErr w:type="spellEnd"/>
      <w:r w:rsidRPr="00791B26">
        <w:rPr>
          <w:lang w:eastAsia="zh-CN"/>
        </w:rPr>
        <w:t xml:space="preserve"> replace global clocked synchronization with local handshakes between neighboring routers and pipeline stages [7], [8]. As illustrated in Fig. X, a communication channel typically uses a forward request (Req) and a backward acknowledgment (Ack). In a four-phase protocol, Req and Ack are asserted to complete a transfer and then </w:t>
      </w:r>
      <w:proofErr w:type="spellStart"/>
      <w:r w:rsidRPr="00791B26">
        <w:rPr>
          <w:lang w:eastAsia="zh-CN"/>
        </w:rPr>
        <w:t>deasserted</w:t>
      </w:r>
      <w:proofErr w:type="spellEnd"/>
      <w:r w:rsidRPr="00791B26">
        <w:rPr>
          <w:lang w:eastAsia="zh-CN"/>
        </w:rPr>
        <w:t xml:space="preserve"> to return the channel to its initial state, requiring two round-trip communications per transaction. In contrast, two-phase, or transition-signaling, communication treats each transition as a new event: the sender toggles Req after presenting valid data, the receiver accepts the transfer and toggles Ack, and the next transaction proceeds using the opposite signal phases without a return-to-zero step [7], [8]. This reduces handshake overhead, but makes the Req/Ack phase part of the channel state and therefore increases the complexity of arbitration and dynamic resource selection. In bundled-data implementations, conventional single-rail data are accompanied by Req/Ack control, with a local timing constraint ensuring that the data become valid before the corresponding request is observed [8], [18].</w:t>
      </w:r>
    </w:p>
    <w:p w14:paraId="247E715C" w14:textId="77CF7170" w:rsidR="00DD78DD" w:rsidRPr="00791B26" w:rsidRDefault="00791B26" w:rsidP="00791B26">
      <w:pPr>
        <w:pStyle w:val="a3"/>
        <w:rPr>
          <w:rFonts w:hint="eastAsia"/>
          <w:lang w:eastAsia="zh-CN"/>
        </w:rPr>
      </w:pPr>
      <w:r w:rsidRPr="00791B26">
        <w:rPr>
          <w:lang w:eastAsia="zh-CN"/>
        </w:rPr>
        <w:t xml:space="preserve">A broad range of asynchronous </w:t>
      </w:r>
      <w:proofErr w:type="spellStart"/>
      <w:r w:rsidRPr="00791B26">
        <w:rPr>
          <w:lang w:eastAsia="zh-CN"/>
        </w:rPr>
        <w:t>NoCs</w:t>
      </w:r>
      <w:proofErr w:type="spellEnd"/>
      <w:r w:rsidRPr="00791B26">
        <w:rPr>
          <w:lang w:eastAsia="zh-CN"/>
        </w:rPr>
        <w:t xml:space="preserve"> has explored these implementation trade-offs, including QDI networks, lightweight bundled-data interconnects, transition-signaling switches, two-phase delay-insensitive routers, advanced-node implementations, and recent standard-cell methodologies [16]–[19], [21], [23]. For example, the transition-signaling router in [18] extends two-phase bundled-data communication throughout a complete five-port switch, while [21] evaluates a related asynchronous architecture against an industrial synchronous router in a 14-nm </w:t>
      </w:r>
      <w:proofErr w:type="spellStart"/>
      <w:r w:rsidRPr="00791B26">
        <w:rPr>
          <w:lang w:eastAsia="zh-CN"/>
        </w:rPr>
        <w:t>FinFET</w:t>
      </w:r>
      <w:proofErr w:type="spellEnd"/>
      <w:r w:rsidRPr="00791B26">
        <w:rPr>
          <w:lang w:eastAsia="zh-CN"/>
        </w:rPr>
        <w:t xml:space="preserve"> library. More recently, [23] demonstrates a fully asynchronous standard-cell router and design methodology in 22 nm. Hardware multicast is also well established: local speculation enables parallel multicast in an asynchronous variant of a Mesh-of-Trees network [20], CMR supports continuous-time replication of multi-flit packets with independently progressing output branches [6], and Ultra specializes asynchronous routing for low-cost multicast in neuromorphic systems [22]. These works establish asynchronous routing and hardware multicast as important building blocks for the architecture considered here.</w:t>
      </w:r>
    </w:p>
    <w:p w14:paraId="405653BC" w14:textId="54699167" w:rsidR="00C21520" w:rsidRPr="00C21520" w:rsidRDefault="00791B26" w:rsidP="00F611AE">
      <w:pPr>
        <w:pStyle w:val="a3"/>
        <w:ind w:firstLine="0pt"/>
        <w:rPr>
          <w:rFonts w:hint="eastAsia"/>
          <w:lang w:val="en-US" w:eastAsia="zh-CN"/>
        </w:rPr>
      </w:pPr>
      <w:r>
        <w:rPr>
          <w:lang w:val="en-US" w:eastAsia="zh-CN"/>
        </w:rPr>
        <w:tab/>
      </w:r>
      <w:r w:rsidR="00C21520">
        <w:rPr>
          <w:rFonts w:hint="eastAsia"/>
          <w:lang w:val="en-US" w:eastAsia="zh-CN"/>
        </w:rPr>
        <w:t>PICTURE: Two phase and four phase</w:t>
      </w:r>
      <w:r>
        <w:rPr>
          <w:rFonts w:hint="eastAsia"/>
          <w:lang w:val="en-US" w:eastAsia="zh-CN"/>
        </w:rPr>
        <w:t xml:space="preserve"> protocol</w:t>
      </w:r>
    </w:p>
    <w:p w14:paraId="59E52D97" w14:textId="46816B19" w:rsidR="009303D9" w:rsidRDefault="00B16AED" w:rsidP="00ED0149">
      <w:pPr>
        <w:pStyle w:val="2"/>
        <w:rPr>
          <w:lang w:eastAsia="zh-CN"/>
        </w:rPr>
      </w:pPr>
      <w:r>
        <w:rPr>
          <w:rFonts w:hint="eastAsia"/>
          <w:lang w:eastAsia="zh-CN"/>
        </w:rPr>
        <w:t>Scale-out NoC Architectures</w:t>
      </w:r>
    </w:p>
    <w:p w14:paraId="688A05B6" w14:textId="44422DEC" w:rsidR="00791B26" w:rsidRPr="00791B26" w:rsidRDefault="00791B26" w:rsidP="00791B26">
      <w:pPr>
        <w:ind w:start="14.40pt" w:firstLine="21.60pt"/>
        <w:jc w:val="both"/>
        <w:rPr>
          <w:lang w:eastAsia="zh-CN"/>
        </w:rPr>
      </w:pPr>
      <w:r w:rsidRPr="00791B26">
        <w:rPr>
          <w:lang w:eastAsia="zh-CN"/>
        </w:rPr>
        <w:t xml:space="preserve">Hierarchical organizations provide another dimension for scaling </w:t>
      </w:r>
      <w:proofErr w:type="spellStart"/>
      <w:r w:rsidRPr="00791B26">
        <w:rPr>
          <w:lang w:eastAsia="zh-CN"/>
        </w:rPr>
        <w:t>NoCs</w:t>
      </w:r>
      <w:proofErr w:type="spellEnd"/>
      <w:r w:rsidRPr="00791B26">
        <w:rPr>
          <w:lang w:eastAsia="zh-CN"/>
        </w:rPr>
        <w:t xml:space="preserve"> by keeping nearby communication within smaller groups and exposing only longer-distance traffic to the upper network. </w:t>
      </w:r>
      <w:r w:rsidRPr="00791B26">
        <w:rPr>
          <w:highlight w:val="yellow"/>
          <w:lang w:eastAsia="zh-CN"/>
        </w:rPr>
        <w:t>DYNAPs</w:t>
      </w:r>
      <w:r w:rsidRPr="00791B26">
        <w:rPr>
          <w:lang w:eastAsia="zh-CN"/>
        </w:rPr>
        <w:t xml:space="preserve"> combines tree-based R1/R2 routing with an R3 2-D mesh and reports that the hierarchy substantially reduces the amount of traffic reaching R3 compared with a plain 2-D mesh [1]. For each event, its routing-memory loop can sequentially read multiple destination entries; each entry is then directed to a local broadcast, a point-to-point transfer to another core, or mesh routing toward a remote core according to its destination information [1]. Thus, hierarchy and mesh routing are already established in an asynchronous event-driven network, but communication to multiple remote targets is represented by individually addressed transfers rather than by a multicast transaction that continues through both structures. </w:t>
      </w:r>
    </w:p>
    <w:p w14:paraId="120A106E" w14:textId="77777777" w:rsidR="00791B26" w:rsidRPr="00791B26" w:rsidRDefault="00791B26" w:rsidP="00791B26">
      <w:pPr>
        <w:ind w:start="14.40pt" w:firstLine="21.60pt"/>
        <w:jc w:val="both"/>
        <w:rPr>
          <w:lang w:eastAsia="zh-CN"/>
        </w:rPr>
      </w:pPr>
      <w:r w:rsidRPr="00791B26">
        <w:rPr>
          <w:highlight w:val="yellow"/>
          <w:lang w:eastAsia="zh-CN"/>
        </w:rPr>
        <w:t>PAICORE</w:t>
      </w:r>
      <w:r w:rsidRPr="00791B26">
        <w:rPr>
          <w:lang w:eastAsia="zh-CN"/>
        </w:rPr>
        <w:t xml:space="preserve"> addresses another scaling problem: traffic convergence within a large hierarchy. Its five-level quadtree increases the number of parallel paths toward the root, alleviating the progressively larger convergence ratio of a conventional tree [12]. The selected 4:2 fat-tree organization achieves 1.42× the throughput of the non-fat tree while requiring only 0.39× the routing paths of a 4:4 implementation [12]. This demonstrates that selectively increasing bandwidth can effectively alleviate hierarchy bottlenecks, but also introduces a design trade-off between available bandwidth and the amount of routing hardware provisioned toward the upper levels. </w:t>
      </w:r>
    </w:p>
    <w:p w14:paraId="2271F546" w14:textId="39E88A5B" w:rsidR="00B16AED" w:rsidRDefault="00791B26" w:rsidP="00791B26">
      <w:pPr>
        <w:ind w:start="14.40pt" w:firstLine="21.60pt"/>
        <w:jc w:val="both"/>
        <w:rPr>
          <w:rFonts w:hint="eastAsia"/>
          <w:lang w:eastAsia="zh-CN"/>
        </w:rPr>
      </w:pPr>
      <w:r w:rsidRPr="00791B26">
        <w:rPr>
          <w:lang w:eastAsia="zh-CN"/>
        </w:rPr>
        <w:t xml:space="preserve">Recent designs further explore multicast-optimized two-tier </w:t>
      </w:r>
      <w:proofErr w:type="spellStart"/>
      <w:r w:rsidRPr="00791B26">
        <w:rPr>
          <w:lang w:eastAsia="zh-CN"/>
        </w:rPr>
        <w:t>NoCs</w:t>
      </w:r>
      <w:proofErr w:type="spellEnd"/>
      <w:r w:rsidRPr="00791B26">
        <w:rPr>
          <w:lang w:eastAsia="zh-CN"/>
        </w:rPr>
        <w:t xml:space="preserve"> [13], hierarchical Mesh-of-Trees organizations [14], fully asynchronous hierarchical multicast trees [15], and bandwidth-tapered fat-tree networks with aggregated multicast [24]. These works establish hierarchical organization, combinations of tree and mesh structures, and nonuniform bandwidth provisioning as existing scale-out techniques. The remaining problem addressed in this work is how a multicast transaction can be routed through both local trees and an upper on-chip mesh without being reconstructed as separate point-to-point transfers, while providing additional bandwidth without requiring the number of physical paths to continue increasing with the hierarchy.</w:t>
      </w:r>
    </w:p>
    <w:p w14:paraId="0BFB4C48" w14:textId="6C52A5CB" w:rsidR="00770F52" w:rsidRDefault="00770F52" w:rsidP="00770F52">
      <w:pPr>
        <w:pStyle w:val="2"/>
        <w:rPr>
          <w:lang w:eastAsia="zh-CN"/>
        </w:rPr>
      </w:pPr>
      <w:r>
        <w:rPr>
          <w:rFonts w:hint="eastAsia"/>
          <w:lang w:eastAsia="zh-CN"/>
        </w:rPr>
        <w:t>Design Motivation</w:t>
      </w:r>
    </w:p>
    <w:p w14:paraId="43D53513" w14:textId="27A72B83" w:rsidR="00791B26" w:rsidRPr="00B16AED" w:rsidRDefault="00791B26" w:rsidP="00505425">
      <w:pPr>
        <w:ind w:firstLine="14.40pt"/>
        <w:jc w:val="both"/>
        <w:rPr>
          <w:lang w:eastAsia="zh-CN"/>
        </w:rPr>
      </w:pPr>
      <w:r w:rsidRPr="00791B26">
        <w:rPr>
          <w:lang w:eastAsia="zh-CN"/>
        </w:rPr>
        <w:t xml:space="preserve">These observations motivate three design objectives. First, </w:t>
      </w:r>
      <w:r w:rsidRPr="00791B26">
        <w:rPr>
          <w:highlight w:val="yellow"/>
          <w:lang w:eastAsia="zh-CN"/>
        </w:rPr>
        <w:t>multicast communication should span both local trees and an upper on-chip mesh without being replaced by separate unicast packets for individual clusters.</w:t>
      </w:r>
      <w:r w:rsidRPr="00791B26">
        <w:rPr>
          <w:lang w:eastAsia="zh-CN"/>
        </w:rPr>
        <w:t xml:space="preserve"> The two parts of the network should operate on the same destination description while applying routing rules suited to their respective topologies. Second, </w:t>
      </w:r>
      <w:r w:rsidRPr="00791B26">
        <w:rPr>
          <w:highlight w:val="yellow"/>
          <w:lang w:eastAsia="zh-CN"/>
        </w:rPr>
        <w:t>multiple physical lanes should be controlled entirely asynchronously</w:t>
      </w:r>
      <w:r w:rsidRPr="00791B26">
        <w:rPr>
          <w:lang w:eastAsia="zh-CN"/>
        </w:rPr>
        <w:t>: each multicast branch should remain assigned to one physical lane until the packet completes, while the correct two-phase handshake state is maintained during lane selection and arbitration. Third</w:t>
      </w:r>
      <w:r w:rsidRPr="00791B26">
        <w:rPr>
          <w:highlight w:val="yellow"/>
          <w:lang w:eastAsia="zh-CN"/>
        </w:rPr>
        <w:t>, system scale-out should be achieved by organizing PEs into local trees with a fixed number of levels and connecting these trees through an on-chip 2-D mesh</w:t>
      </w:r>
      <w:r w:rsidRPr="00791B26">
        <w:rPr>
          <w:lang w:eastAsia="zh-CN"/>
        </w:rPr>
        <w:t>. A limited number of parallel physical lanes can provide additional bandwidth inside each tree with</w:t>
      </w:r>
      <w:r w:rsidRPr="00791B26">
        <w:rPr>
          <w:lang w:eastAsia="zh-CN"/>
        </w:rPr>
        <w:lastRenderedPageBreak/>
        <w:t>out requiring the number of lanes to continue increasing toward the upper levels. Section III presents the architecture and routing mechanisms that realize these objectives.</w:t>
      </w:r>
    </w:p>
    <w:p w14:paraId="17444ED6" w14:textId="77777777" w:rsidR="009303D9" w:rsidRDefault="009303D9" w:rsidP="006B6B66">
      <w:pPr>
        <w:pStyle w:val="1"/>
      </w:pPr>
      <w:r>
        <w:t xml:space="preserve">Prepare Your Paper </w:t>
      </w:r>
      <w:r w:rsidRPr="005B520E">
        <w:t>Before</w:t>
      </w:r>
      <w:r>
        <w:t xml:space="preserve"> Styling</w:t>
      </w:r>
    </w:p>
    <w:p w14:paraId="3291269C" w14:textId="77777777" w:rsidR="00D7522C" w:rsidRPr="00D7522C" w:rsidRDefault="009303D9" w:rsidP="00E7596C">
      <w:pPr>
        <w:pStyle w:val="a3"/>
        <w:rPr>
          <w:lang w:val="en-US"/>
        </w:rPr>
      </w:pPr>
      <w:r w:rsidRPr="00E7596C">
        <w:t>Before</w:t>
      </w:r>
      <w:r w:rsidRPr="005B520E">
        <w:t xml:space="preserve"> you begin to format your paper, first write and save the content as a separate text file. </w:t>
      </w:r>
      <w:r w:rsidR="00D7522C">
        <w:rPr>
          <w:lang w:val="en-US"/>
        </w:rPr>
        <w:t>Complete all content and organizational editing before formatting. Please note sections A-D below for more information on proofreading, spelling and grammar.</w:t>
      </w:r>
    </w:p>
    <w:p w14:paraId="0582F15D" w14:textId="77777777" w:rsidR="009303D9" w:rsidRPr="005B520E" w:rsidRDefault="009303D9" w:rsidP="00E7596C">
      <w:pPr>
        <w:pStyle w:val="a3"/>
      </w:pPr>
      <w:r w:rsidRPr="005B520E">
        <w:t>Keep your text and graphic files separate until after the text has been formatted and styled. Do not use hard tabs, and limit use of hard returns to only one return at the end of a paragraph. Do not add any kind of pagination anywhere in the paper. Do not number text heads-the template will do that for you.</w:t>
      </w:r>
    </w:p>
    <w:p w14:paraId="0B72233A" w14:textId="77777777" w:rsidR="009303D9" w:rsidRDefault="009303D9" w:rsidP="00ED0149">
      <w:pPr>
        <w:pStyle w:val="2"/>
      </w:pPr>
      <w:r w:rsidRPr="00ED0149">
        <w:t>Abbreviations</w:t>
      </w:r>
      <w:r>
        <w:t xml:space="preserve"> and Acronyms</w:t>
      </w:r>
    </w:p>
    <w:p w14:paraId="34BE2284" w14:textId="77777777" w:rsidR="009303D9" w:rsidRPr="005B520E" w:rsidRDefault="009303D9" w:rsidP="00E7596C">
      <w:pPr>
        <w:pStyle w:val="a3"/>
      </w:pPr>
      <w:r w:rsidRPr="005B520E">
        <w:t xml:space="preserve">Define abbreviations and acronyms the first time they are used in the text, even after they have been defined in the abstract. Abbreviations such as IEEE, SI, MKS, CGS, </w:t>
      </w:r>
      <w:proofErr w:type="spellStart"/>
      <w:r w:rsidRPr="005B520E">
        <w:t>sc</w:t>
      </w:r>
      <w:proofErr w:type="spellEnd"/>
      <w:r w:rsidRPr="005B520E">
        <w:t>, dc, and rms do not have to be defined. Do not use abbreviations in the title or heads unless they are unavoidable.</w:t>
      </w:r>
    </w:p>
    <w:p w14:paraId="7D3EEF80" w14:textId="77777777" w:rsidR="009303D9" w:rsidRDefault="009303D9" w:rsidP="00ED0149">
      <w:pPr>
        <w:pStyle w:val="2"/>
      </w:pPr>
      <w:r>
        <w:t>Units</w:t>
      </w:r>
    </w:p>
    <w:p w14:paraId="727701A0" w14:textId="77777777" w:rsidR="009303D9" w:rsidRPr="005B520E" w:rsidRDefault="009303D9" w:rsidP="00E7596C">
      <w:pPr>
        <w:pStyle w:val="bulletlist"/>
      </w:pPr>
      <w:r w:rsidRPr="005B520E">
        <w:t xml:space="preserve">Use </w:t>
      </w:r>
      <w:r w:rsidRPr="007F1F99">
        <w:t>either</w:t>
      </w:r>
      <w:r w:rsidRPr="005B520E">
        <w:t xml:space="preserve"> SI (MKS) or CGS as primary units. (SI units are encouraged.) English units may be used as secondary units (in parentheses). An exception would be the use of English units as identifiers in trade, such as “3.5-inch disk drive”.</w:t>
      </w:r>
    </w:p>
    <w:p w14:paraId="5A864857" w14:textId="77777777" w:rsidR="009303D9" w:rsidRPr="005B520E" w:rsidRDefault="009303D9" w:rsidP="00E7596C">
      <w:pPr>
        <w:pStyle w:val="bulletlist"/>
      </w:pPr>
      <w:r w:rsidRPr="005B520E">
        <w:t xml:space="preserve">Avoid combining SI and CGS units, such as current in amperes and magnetic field in </w:t>
      </w:r>
      <w:proofErr w:type="spellStart"/>
      <w:r w:rsidRPr="005B520E">
        <w:t>oersteds</w:t>
      </w:r>
      <w:proofErr w:type="spellEnd"/>
      <w:r w:rsidRPr="005B520E">
        <w:t>. This often leads to confusion because equations do not balance dimensionally. If you must use mixed units, clearly state the units for each quantity that you use in an equation.</w:t>
      </w:r>
    </w:p>
    <w:p w14:paraId="6C921D20" w14:textId="77777777" w:rsidR="009303D9" w:rsidRPr="005B520E" w:rsidRDefault="009303D9" w:rsidP="00E7596C">
      <w:pPr>
        <w:pStyle w:val="bulletlist"/>
      </w:pPr>
      <w:r w:rsidRPr="005B520E">
        <w:t xml:space="preserve">Do not mix complete spellings and abbreviations of units: “Wb/m2” or “webers per square meter”, not “webers/m2”.  Spell out units when they appear in text: “. . . a few </w:t>
      </w:r>
      <w:proofErr w:type="spellStart"/>
      <w:r w:rsidRPr="005B520E">
        <w:t>henries</w:t>
      </w:r>
      <w:proofErr w:type="spellEnd"/>
      <w:r w:rsidRPr="005B520E">
        <w:t>”, not “. . . a few H”.</w:t>
      </w:r>
    </w:p>
    <w:p w14:paraId="3C744791" w14:textId="77777777" w:rsidR="003B4E04" w:rsidRDefault="003B4E04" w:rsidP="003B4E04">
      <w:pPr>
        <w:pStyle w:val="sponsors"/>
        <w:framePr w:wrap="auto" w:vAnchor="page" w:hAnchor="page" w:x="45.90pt" w:y="756.05pt"/>
        <w:ind w:firstLine="14.45pt"/>
      </w:pPr>
      <w:r>
        <w:t>Identif</w:t>
      </w:r>
      <w:r w:rsidRPr="007C0308">
        <w:t xml:space="preserve">y applicable </w:t>
      </w:r>
      <w:r>
        <w:t>funding agency</w:t>
      </w:r>
      <w:r w:rsidRPr="007C0308">
        <w:t xml:space="preserve"> here. </w:t>
      </w:r>
      <w:r>
        <w:rPr>
          <w:iCs/>
        </w:rPr>
        <w:t>If none, delete this text box</w:t>
      </w:r>
      <w:r w:rsidRPr="007C0308">
        <w:rPr>
          <w:iCs/>
        </w:rPr>
        <w:t>.</w:t>
      </w:r>
    </w:p>
    <w:p w14:paraId="53EA51BA" w14:textId="77777777" w:rsidR="009303D9" w:rsidRPr="005B520E" w:rsidRDefault="009303D9" w:rsidP="00E7596C">
      <w:pPr>
        <w:pStyle w:val="bulletlist"/>
      </w:pPr>
      <w:r w:rsidRPr="005B520E">
        <w:t xml:space="preserve">Use a zero before decimal points: “0.25”, not “.25”. Use “cm3”, not “cc”. </w:t>
      </w:r>
      <w:r w:rsidRPr="007C0308">
        <w:t>(</w:t>
      </w:r>
      <w:r w:rsidRPr="005B0344">
        <w:rPr>
          <w:i/>
          <w:iCs/>
        </w:rPr>
        <w:t>bullet list</w:t>
      </w:r>
      <w:r w:rsidRPr="007C0308">
        <w:t>)</w:t>
      </w:r>
    </w:p>
    <w:p w14:paraId="5F4E346B" w14:textId="77777777" w:rsidR="009303D9" w:rsidRPr="005B520E" w:rsidRDefault="009303D9" w:rsidP="00ED0149">
      <w:pPr>
        <w:pStyle w:val="2"/>
      </w:pPr>
      <w:r w:rsidRPr="005B520E">
        <w:t>Equations</w:t>
      </w:r>
    </w:p>
    <w:p w14:paraId="563DE3A2" w14:textId="77777777" w:rsidR="009303D9" w:rsidRPr="005B520E" w:rsidRDefault="009303D9" w:rsidP="00E7596C">
      <w:pPr>
        <w:pStyle w:val="a3"/>
      </w:pPr>
      <w:r w:rsidRPr="005B520E">
        <w:t>The equations are an exception to the prescribed specifications of this template. You will need to determine whether or not your equation should be typed using either the Times New Roman or the Symbol font (please no other font). To create multileveled equations, it may be necessary to treat the equation as a graphic and insert it into the text after your paper is styled.</w:t>
      </w:r>
    </w:p>
    <w:p w14:paraId="1F5293DF" w14:textId="77777777" w:rsidR="009303D9" w:rsidRPr="00D7522C" w:rsidRDefault="009303D9" w:rsidP="00E7596C">
      <w:pPr>
        <w:pStyle w:val="a3"/>
        <w:rPr>
          <w:lang w:val="en-US"/>
        </w:rPr>
      </w:pPr>
      <w:r w:rsidRPr="005B520E">
        <w:t>Number equations consecutively. Equation numbers, within parentheses, are to position flush right, as in (1), using a right tab stop. To make your equations more compact, you may use the solidus ( / ), the exp function, or appropriate exponents. Italicize Roman symbols for quantities and variables, but not Greek symbols. Use a long dash rather than a hyphen for a minus sign. Punctuate equations with commas or periods when they are part of a sentence, as in</w:t>
      </w:r>
      <w:r w:rsidR="00D7522C">
        <w:rPr>
          <w:lang w:val="en-US"/>
        </w:rPr>
        <w:t>:</w:t>
      </w:r>
    </w:p>
    <w:p w14:paraId="3DFF9992" w14:textId="77777777" w:rsidR="009303D9" w:rsidRPr="005B520E" w:rsidRDefault="009303D9" w:rsidP="003A19E2">
      <w:pPr>
        <w:pStyle w:val="equation"/>
        <w:rPr>
          <w:rFonts w:hint="eastAsia"/>
        </w:rPr>
      </w:pPr>
      <w:r w:rsidRPr="005B520E">
        <w:tab/>
      </w:r>
      <w:r w:rsidR="008A2C7D" w:rsidRPr="00127EDD">
        <w:rPr>
          <w:rFonts w:ascii="Times New Roman" w:hAnsi="Times New Roman" w:cs="Times New Roman"/>
          <w:i/>
        </w:rPr>
        <w:t>a</w:t>
      </w:r>
      <w:r w:rsidR="008A2C7D" w:rsidRPr="00CB66E6">
        <w:t></w:t>
      </w:r>
      <w:r w:rsidR="008A2C7D" w:rsidRPr="00CB66E6">
        <w:t></w:t>
      </w:r>
      <w:r w:rsidR="008A2C7D" w:rsidRPr="00CB66E6">
        <w:t></w:t>
      </w:r>
      <w:r w:rsidR="008A2C7D" w:rsidRPr="00127EDD">
        <w:rPr>
          <w:rFonts w:ascii="Times New Roman" w:hAnsi="Times New Roman" w:cs="Times New Roman"/>
          <w:i/>
        </w:rPr>
        <w:t>b</w:t>
      </w:r>
      <w:r w:rsidR="008A2C7D" w:rsidRPr="00CB66E6">
        <w:t></w:t>
      </w:r>
      <w:r w:rsidR="008A2C7D" w:rsidRPr="00CB66E6">
        <w:t></w:t>
      </w:r>
      <w:r w:rsidR="008A2C7D" w:rsidRPr="00CB66E6">
        <w:t></w:t>
      </w:r>
      <w:r w:rsidR="008A2C7D" w:rsidRPr="00CB66E6">
        <w:t></w:t>
      </w:r>
      <w:r w:rsidR="008A2C7D">
        <w:t></w:t>
      </w:r>
      <w:r w:rsidR="008A2C7D">
        <w:tab/>
      </w:r>
      <w:r w:rsidR="008A2C7D" w:rsidRPr="00CB66E6">
        <w:t></w:t>
      </w:r>
      <w:r w:rsidR="008A2C7D" w:rsidRPr="00CB66E6">
        <w:t></w:t>
      </w:r>
      <w:r w:rsidR="008A2C7D" w:rsidRPr="00CB66E6">
        <w:t></w:t>
      </w:r>
    </w:p>
    <w:p w14:paraId="11B33B6D" w14:textId="77777777" w:rsidR="009303D9" w:rsidRDefault="009303D9" w:rsidP="00E7596C">
      <w:pPr>
        <w:pStyle w:val="a3"/>
      </w:pPr>
      <w:r>
        <w:t>Note that the equation is centered using a center tab stop. Be sure that the symbols in your equation have been defined before or immediately following the equation. Use “(1)”, not “Eq. (1)” or “equation (1)”, except at the beginning of a sentence: “Equation (1) is . . .”</w:t>
      </w:r>
    </w:p>
    <w:p w14:paraId="23FB7FB8" w14:textId="77777777" w:rsidR="009303D9" w:rsidRDefault="009303D9" w:rsidP="00ED0149">
      <w:pPr>
        <w:pStyle w:val="2"/>
      </w:pPr>
      <w:r>
        <w:t>Some Common Mistakes</w:t>
      </w:r>
    </w:p>
    <w:p w14:paraId="025F7563" w14:textId="77777777" w:rsidR="009303D9" w:rsidRPr="005B520E" w:rsidRDefault="009303D9" w:rsidP="00E7596C">
      <w:pPr>
        <w:pStyle w:val="bulletlist"/>
      </w:pPr>
      <w:r w:rsidRPr="005B520E">
        <w:t>The word “data” is plural, not singular.</w:t>
      </w:r>
    </w:p>
    <w:p w14:paraId="23270BA4" w14:textId="77777777" w:rsidR="009303D9" w:rsidRPr="005B520E" w:rsidRDefault="009303D9" w:rsidP="00E7596C">
      <w:pPr>
        <w:pStyle w:val="bulletlist"/>
      </w:pPr>
      <w:r w:rsidRPr="005B520E">
        <w:t xml:space="preserve">The subscript for the permeability of vacuum </w:t>
      </w:r>
      <w:r>
        <w:rPr>
          <w:rFonts w:ascii="Symbol" w:hAnsi="Symbol" w:cs="Symbol"/>
          <w:i/>
          <w:iCs/>
          <w:snapToGrid w:val="0"/>
        </w:rPr>
        <w:t></w:t>
      </w:r>
      <w:r>
        <w:rPr>
          <w:vertAlign w:val="subscript"/>
        </w:rPr>
        <w:t>0</w:t>
      </w:r>
      <w:r w:rsidRPr="005B520E">
        <w:t>, and other common scientific constants, is zero with subscript formatting, not a lowercase letter “o”.</w:t>
      </w:r>
    </w:p>
    <w:p w14:paraId="2BF660A8" w14:textId="77777777" w:rsidR="009303D9" w:rsidRPr="005B520E" w:rsidRDefault="009303D9" w:rsidP="00E7596C">
      <w:pPr>
        <w:pStyle w:val="bulletlist"/>
      </w:pPr>
      <w:r w:rsidRPr="005B520E">
        <w:t xml:space="preserve">In American </w:t>
      </w:r>
      <w:r w:rsidR="002850E3">
        <w:t>English, commas, semi</w:t>
      </w:r>
      <w:r w:rsidRPr="005B520E">
        <w:t>colons, periods, question and exclamation marks are located within quotation marks only when a complete thought or name is cited, such as a title or full quotation. When quotation marks are used, instead of a bold or italic 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14:paraId="25E6E1DA" w14:textId="77777777" w:rsidR="009303D9" w:rsidRPr="005B520E" w:rsidRDefault="009303D9" w:rsidP="00E7596C">
      <w:pPr>
        <w:pStyle w:val="bulletlist"/>
      </w:pPr>
      <w:r w:rsidRPr="005B520E">
        <w:t>A graph within a graph is an “inset”, not an “insert”. The word alternatively is preferred to the word “alternately” (unless you really mean something that alternates).</w:t>
      </w:r>
    </w:p>
    <w:p w14:paraId="2573335A" w14:textId="77777777" w:rsidR="009303D9" w:rsidRPr="005B520E" w:rsidRDefault="009303D9" w:rsidP="00E7596C">
      <w:pPr>
        <w:pStyle w:val="bulletlist"/>
      </w:pPr>
      <w:r w:rsidRPr="005B520E">
        <w:t>Do not use the word “essentially” to mean “approximately” or “effectively”.</w:t>
      </w:r>
    </w:p>
    <w:p w14:paraId="4F85BE4A" w14:textId="77777777" w:rsidR="009303D9" w:rsidRPr="005B520E" w:rsidRDefault="009303D9" w:rsidP="00E7596C">
      <w:pPr>
        <w:pStyle w:val="bulletlist"/>
      </w:pPr>
      <w:r w:rsidRPr="005B520E">
        <w:t>In your paper title, if the words “that uses” can accurately replace the word “using”, capitalize the “u”; if not, keep using lower-cased.</w:t>
      </w:r>
    </w:p>
    <w:p w14:paraId="58E1F85E" w14:textId="77777777" w:rsidR="009303D9" w:rsidRPr="005B520E" w:rsidRDefault="009303D9" w:rsidP="00E7596C">
      <w:pPr>
        <w:pStyle w:val="bulletlist"/>
      </w:pPr>
      <w:r w:rsidRPr="005B520E">
        <w:t>Be aware of the different meanings of the homophones “affect” and “effect”, “complement” and “compliment”, “discreet” and “discrete”, “principal” and “principle”.</w:t>
      </w:r>
    </w:p>
    <w:p w14:paraId="70022608" w14:textId="77777777" w:rsidR="009303D9" w:rsidRPr="005B520E" w:rsidRDefault="009303D9" w:rsidP="00E7596C">
      <w:pPr>
        <w:pStyle w:val="bulletlist"/>
      </w:pPr>
      <w:r w:rsidRPr="005B520E">
        <w:t>Do not confuse “imply” and “infer”.</w:t>
      </w:r>
    </w:p>
    <w:p w14:paraId="1D79F2BA" w14:textId="77777777" w:rsidR="009303D9" w:rsidRPr="005B520E" w:rsidRDefault="009303D9" w:rsidP="00E7596C">
      <w:pPr>
        <w:pStyle w:val="bulletlist"/>
      </w:pPr>
      <w:r w:rsidRPr="005B520E">
        <w:t>The prefix “non” is not a word; it should be joined to the word it modifies, usually without a hyphen.</w:t>
      </w:r>
    </w:p>
    <w:p w14:paraId="6A6179BF" w14:textId="77777777" w:rsidR="009303D9" w:rsidRPr="005B520E" w:rsidRDefault="009303D9" w:rsidP="00E7596C">
      <w:pPr>
        <w:pStyle w:val="bulletlist"/>
      </w:pPr>
      <w:r w:rsidRPr="005B520E">
        <w:t>There is no period after the “et” in the Latin abbreviation “et al.”.</w:t>
      </w:r>
    </w:p>
    <w:p w14:paraId="38888CB9" w14:textId="77777777" w:rsidR="009303D9" w:rsidRPr="005B520E" w:rsidRDefault="009303D9" w:rsidP="00E7596C">
      <w:pPr>
        <w:pStyle w:val="bulletlist"/>
      </w:pPr>
      <w:r w:rsidRPr="005B520E">
        <w:t>The abbreviation “i.e.” means “that is”, and the abbreviation “e.g.” means “for example”.</w:t>
      </w:r>
    </w:p>
    <w:p w14:paraId="698B641B" w14:textId="77777777" w:rsidR="009303D9" w:rsidRPr="005B520E" w:rsidRDefault="009303D9" w:rsidP="00E7596C">
      <w:pPr>
        <w:pStyle w:val="a3"/>
      </w:pPr>
      <w:r w:rsidRPr="005B520E">
        <w:t>An excellent style manual for science writers is [7].</w:t>
      </w:r>
    </w:p>
    <w:p w14:paraId="238C43EA" w14:textId="77777777" w:rsidR="009303D9" w:rsidRDefault="009303D9" w:rsidP="006B6B66">
      <w:pPr>
        <w:pStyle w:val="1"/>
      </w:pPr>
      <w:r>
        <w:t xml:space="preserve">Using the </w:t>
      </w:r>
      <w:r w:rsidRPr="005B520E">
        <w:t>Template</w:t>
      </w:r>
    </w:p>
    <w:p w14:paraId="57163542" w14:textId="77777777" w:rsidR="009303D9" w:rsidRPr="005B520E" w:rsidRDefault="009303D9" w:rsidP="00E7596C">
      <w:pPr>
        <w:pStyle w:val="a3"/>
      </w:pPr>
      <w:r w:rsidRPr="005B520E">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14:paraId="0A06093C" w14:textId="77777777" w:rsidR="009303D9" w:rsidRDefault="009303D9" w:rsidP="00ED0149">
      <w:pPr>
        <w:pStyle w:val="2"/>
      </w:pPr>
      <w:r w:rsidRPr="005B520E">
        <w:t>Authors</w:t>
      </w:r>
      <w:r>
        <w:t xml:space="preserve"> and Affiliations</w:t>
      </w:r>
    </w:p>
    <w:p w14:paraId="249CF7A0" w14:textId="77777777" w:rsidR="009303D9" w:rsidRPr="005B520E" w:rsidRDefault="009303D9" w:rsidP="00E7596C">
      <w:pPr>
        <w:pStyle w:val="a3"/>
      </w:pPr>
      <w:r w:rsidRPr="0056610F">
        <w:rPr>
          <w:b/>
        </w:rPr>
        <w:t xml:space="preserve">The template is </w:t>
      </w:r>
      <w:r w:rsidR="007D6232" w:rsidRPr="0056610F">
        <w:rPr>
          <w:b/>
        </w:rPr>
        <w:t>designed</w:t>
      </w:r>
      <w:r w:rsidR="00D76668" w:rsidRPr="0056610F">
        <w:rPr>
          <w:b/>
          <w:lang w:val="en-US"/>
        </w:rPr>
        <w:t xml:space="preserve"> for,</w:t>
      </w:r>
      <w:r w:rsidR="007D6232" w:rsidRPr="0056610F">
        <w:rPr>
          <w:b/>
        </w:rPr>
        <w:t xml:space="preserve"> but not limited to</w:t>
      </w:r>
      <w:r w:rsidR="00D76668" w:rsidRPr="0056610F">
        <w:rPr>
          <w:b/>
          <w:lang w:val="en-US"/>
        </w:rPr>
        <w:t>,</w:t>
      </w:r>
      <w:r w:rsidR="00354FCF" w:rsidRPr="0056610F">
        <w:rPr>
          <w:b/>
          <w:lang w:val="en-US"/>
        </w:rPr>
        <w:t xml:space="preserve"> </w:t>
      </w:r>
      <w:r w:rsidR="002850E3">
        <w:rPr>
          <w:b/>
          <w:lang w:val="en-US"/>
        </w:rPr>
        <w:t>six</w:t>
      </w:r>
      <w:r w:rsidR="00354FCF" w:rsidRPr="0056610F">
        <w:rPr>
          <w:b/>
          <w:lang w:val="en-US"/>
        </w:rPr>
        <w:t xml:space="preserve"> authors.</w:t>
      </w:r>
      <w:r w:rsidR="00354FCF">
        <w:rPr>
          <w:lang w:val="en-US"/>
        </w:rPr>
        <w:t xml:space="preserve"> </w:t>
      </w:r>
      <w:r w:rsidR="007D6232">
        <w:rPr>
          <w:lang w:val="en-US"/>
        </w:rPr>
        <w:t xml:space="preserve">A minimum of one author is required for all conference articles. </w:t>
      </w:r>
      <w:r w:rsidR="00D7522C">
        <w:t xml:space="preserve">Author names should be listed starting from left to </w:t>
      </w:r>
      <w:r w:rsidR="00D7522C">
        <w:lastRenderedPageBreak/>
        <w:t>right and then moving down to the next line. This is the author sequence that will be used in future citations and by indexing services.</w:t>
      </w:r>
      <w:r w:rsidR="00D7522C" w:rsidRPr="008D6DBE">
        <w:t xml:space="preserve"> </w:t>
      </w:r>
      <w:r w:rsidR="00D7522C">
        <w:t>Names should not be listed in columns nor group by affiliation.</w:t>
      </w:r>
      <w:r w:rsidR="002850E3">
        <w:rPr>
          <w:lang w:val="en-US"/>
        </w:rPr>
        <w:t xml:space="preserve"> </w:t>
      </w:r>
      <w:r w:rsidRPr="005B520E">
        <w:t>Please keep your affiliations as succinct as possible (for example, do not differentiate among departments of the same organization).</w:t>
      </w:r>
    </w:p>
    <w:p w14:paraId="34D46AC6" w14:textId="77777777" w:rsidR="002850E3" w:rsidRDefault="002850E3" w:rsidP="00794804">
      <w:pPr>
        <w:pStyle w:val="3"/>
      </w:pPr>
      <w:r>
        <w:t xml:space="preserve">For papers with more than six authors: </w:t>
      </w:r>
      <w:r>
        <w:rPr>
          <w:i w:val="0"/>
        </w:rPr>
        <w:t>Add author names horizontally, moving to a third row if needed for more than 8 authors.</w:t>
      </w:r>
    </w:p>
    <w:p w14:paraId="541109DE" w14:textId="77777777" w:rsidR="009303D9" w:rsidRPr="005B520E" w:rsidRDefault="009303D9" w:rsidP="00794804">
      <w:pPr>
        <w:pStyle w:val="3"/>
      </w:pPr>
      <w:r w:rsidRPr="005B520E">
        <w:t xml:space="preserve">For </w:t>
      </w:r>
      <w:r w:rsidR="00354FCF">
        <w:t xml:space="preserve">papers with less than </w:t>
      </w:r>
      <w:r w:rsidR="002850E3">
        <w:t>six</w:t>
      </w:r>
      <w:r w:rsidR="00354FCF">
        <w:t xml:space="preserve"> authors</w:t>
      </w:r>
      <w:r w:rsidRPr="005B520E">
        <w:t xml:space="preserve">: </w:t>
      </w:r>
      <w:r w:rsidRPr="00FA4C32">
        <w:rPr>
          <w:i w:val="0"/>
        </w:rPr>
        <w:t>To change the default, adjust the template as follows.</w:t>
      </w:r>
    </w:p>
    <w:p w14:paraId="2CB45E9E" w14:textId="77777777" w:rsidR="009303D9" w:rsidRPr="005B520E" w:rsidRDefault="009303D9" w:rsidP="00794804">
      <w:pPr>
        <w:pStyle w:val="4"/>
      </w:pPr>
      <w:r w:rsidRPr="00794804">
        <w:t>Selection</w:t>
      </w:r>
      <w:r w:rsidRPr="005B520E">
        <w:t xml:space="preserve">: </w:t>
      </w:r>
      <w:r w:rsidRPr="00FA4C32">
        <w:rPr>
          <w:i w:val="0"/>
        </w:rPr>
        <w:t>Highlight all author and affiliation lines.</w:t>
      </w:r>
    </w:p>
    <w:p w14:paraId="1E9EAC7E" w14:textId="77777777" w:rsidR="009303D9" w:rsidRPr="005B520E" w:rsidRDefault="009303D9" w:rsidP="00794804">
      <w:pPr>
        <w:pStyle w:val="4"/>
      </w:pPr>
      <w:r>
        <w:t>Change number of columns:</w:t>
      </w:r>
      <w:r w:rsidRPr="005B520E">
        <w:t xml:space="preserve"> </w:t>
      </w:r>
      <w:r w:rsidRPr="00FA4C32">
        <w:rPr>
          <w:i w:val="0"/>
        </w:rPr>
        <w:t xml:space="preserve">Select the Columns icon from the MS Word Standard toolbar and then select </w:t>
      </w:r>
      <w:r w:rsidR="00354FCF">
        <w:rPr>
          <w:i w:val="0"/>
        </w:rPr>
        <w:t>the correct number of columns</w:t>
      </w:r>
      <w:r w:rsidRPr="00FA4C32">
        <w:rPr>
          <w:i w:val="0"/>
        </w:rPr>
        <w:t xml:space="preserve"> from the selection palette.</w:t>
      </w:r>
    </w:p>
    <w:p w14:paraId="484C1020" w14:textId="77777777" w:rsidR="007D6232" w:rsidRDefault="009303D9" w:rsidP="007D6232">
      <w:pPr>
        <w:pStyle w:val="4"/>
        <w:rPr>
          <w:i w:val="0"/>
        </w:rPr>
      </w:pPr>
      <w:r w:rsidRPr="005B520E">
        <w:t xml:space="preserve">Deletion: </w:t>
      </w:r>
      <w:r w:rsidRPr="00FA4C32">
        <w:rPr>
          <w:i w:val="0"/>
        </w:rPr>
        <w:t xml:space="preserve">Delete the author and affiliation lines for the </w:t>
      </w:r>
      <w:r w:rsidR="00354FCF">
        <w:rPr>
          <w:i w:val="0"/>
        </w:rPr>
        <w:t>extra authors.</w:t>
      </w:r>
    </w:p>
    <w:p w14:paraId="291377DD" w14:textId="77777777" w:rsidR="006F6D3D" w:rsidRDefault="006F6D3D" w:rsidP="006F6D3D">
      <w:pPr>
        <w:jc w:val="start"/>
        <w:rPr>
          <w:i/>
          <w:iCs/>
          <w:noProof/>
        </w:rPr>
      </w:pPr>
    </w:p>
    <w:p w14:paraId="6AEA23C3" w14:textId="77777777" w:rsidR="009303D9" w:rsidRDefault="009303D9" w:rsidP="00ED0149">
      <w:pPr>
        <w:pStyle w:val="2"/>
      </w:pPr>
      <w:r w:rsidRPr="005B520E">
        <w:t>Identify</w:t>
      </w:r>
      <w:r>
        <w:t xml:space="preserve"> the Headings</w:t>
      </w:r>
    </w:p>
    <w:p w14:paraId="336ADECF" w14:textId="77777777" w:rsidR="009303D9" w:rsidRPr="005B520E" w:rsidRDefault="009303D9" w:rsidP="00E7596C">
      <w:pPr>
        <w:pStyle w:val="a3"/>
      </w:pPr>
      <w:r w:rsidRPr="005B520E">
        <w:t>Headings, or heads, are organizational devices that guide the reader through your paper. There are two types: component heads and text heads.</w:t>
      </w:r>
    </w:p>
    <w:p w14:paraId="25F2857D" w14:textId="77777777" w:rsidR="009303D9" w:rsidRPr="005B520E" w:rsidRDefault="009303D9" w:rsidP="00E7596C">
      <w:pPr>
        <w:pStyle w:val="a3"/>
      </w:pPr>
      <w:r w:rsidRPr="005B520E">
        <w:t>Component heads identify the different components of your paper and are not topically subordinate to each other. Examples include Acknowledgments and References and, for these, the correct style to use is “Heading 5”. Use “figure caption” for your Figure captions, and “table head” for your table title. Run-in heads, such as “Abstract”, will require you to apply a style (in this case, italic) in addition to the style provided by the drop down menu to differentiate the head from the text.</w:t>
      </w:r>
    </w:p>
    <w:p w14:paraId="63F7E187" w14:textId="77777777" w:rsidR="009303D9" w:rsidRPr="005B520E" w:rsidRDefault="009303D9" w:rsidP="00E7596C">
      <w:pPr>
        <w:pStyle w:val="a3"/>
      </w:pPr>
      <w:r w:rsidRPr="005B520E">
        <w:t>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“Heading 1”, “Heading 2”, “Heading 3”, and “Heading 4” are prescribed.</w:t>
      </w:r>
    </w:p>
    <w:p w14:paraId="3793DF12" w14:textId="77777777" w:rsidR="009303D9" w:rsidRDefault="009303D9" w:rsidP="00ED0149">
      <w:pPr>
        <w:pStyle w:val="2"/>
      </w:pPr>
      <w:r>
        <w:t>Figures and Tables</w:t>
      </w:r>
    </w:p>
    <w:p w14:paraId="3EE18603" w14:textId="77777777" w:rsidR="009303D9" w:rsidRDefault="0004781E" w:rsidP="00FA4C32">
      <w:pPr>
        <w:pStyle w:val="4"/>
      </w:pPr>
      <w:r>
        <w:t xml:space="preserve"> </w:t>
      </w:r>
      <w:r w:rsidR="009303D9" w:rsidRPr="005B520E">
        <w:t xml:space="preserve">Positioning Figures and Tables: </w:t>
      </w:r>
      <w:r w:rsidR="009303D9" w:rsidRPr="00FA4C32">
        <w:rPr>
          <w:i w:val="0"/>
        </w:rPr>
        <w:t>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“Fig. 1”, even at the beginning of a sentence.</w:t>
      </w:r>
    </w:p>
    <w:p w14:paraId="6CDEFE13" w14:textId="77777777" w:rsidR="009303D9" w:rsidRPr="005B520E" w:rsidRDefault="009303D9">
      <w:pPr>
        <w:pStyle w:val="tablehead"/>
      </w:pPr>
      <w:r>
        <w:t>Table Type Styles</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720"/>
        <w:gridCol w:w="2340"/>
        <w:gridCol w:w="900"/>
        <w:gridCol w:w="900"/>
      </w:tblGrid>
      <w:tr w:rsidR="009303D9" w14:paraId="2F413AC4" w14:textId="77777777">
        <w:trPr>
          <w:cantSplit/>
          <w:trHeight w:val="240"/>
          <w:tblHeader/>
          <w:jc w:val="center"/>
        </w:trPr>
        <w:tc>
          <w:tcPr>
            <w:tcW w:w="36pt" w:type="dxa"/>
            <w:vMerge w:val="restart"/>
            <w:vAlign w:val="center"/>
          </w:tcPr>
          <w:p w14:paraId="41C608B4" w14:textId="77777777" w:rsidR="009303D9" w:rsidRDefault="009303D9">
            <w:pPr>
              <w:pStyle w:val="tablecolhead"/>
            </w:pPr>
            <w:r>
              <w:t>Table Head</w:t>
            </w:r>
          </w:p>
        </w:tc>
        <w:tc>
          <w:tcPr>
            <w:tcW w:w="207pt" w:type="dxa"/>
            <w:gridSpan w:val="3"/>
            <w:vAlign w:val="center"/>
          </w:tcPr>
          <w:p w14:paraId="6548A726" w14:textId="77777777" w:rsidR="009303D9" w:rsidRDefault="009303D9">
            <w:pPr>
              <w:pStyle w:val="tablecolhead"/>
            </w:pPr>
            <w:r>
              <w:t>Table Column Head</w:t>
            </w:r>
          </w:p>
        </w:tc>
      </w:tr>
      <w:tr w:rsidR="009303D9" w14:paraId="17FB179E" w14:textId="77777777">
        <w:trPr>
          <w:cantSplit/>
          <w:trHeight w:val="240"/>
          <w:tblHeader/>
          <w:jc w:val="center"/>
        </w:trPr>
        <w:tc>
          <w:tcPr>
            <w:tcW w:w="36pt" w:type="dxa"/>
            <w:vMerge/>
          </w:tcPr>
          <w:p w14:paraId="7478427F" w14:textId="77777777" w:rsidR="009303D9" w:rsidRDefault="009303D9">
            <w:pPr>
              <w:rPr>
                <w:sz w:val="16"/>
                <w:szCs w:val="16"/>
              </w:rPr>
            </w:pPr>
          </w:p>
        </w:tc>
        <w:tc>
          <w:tcPr>
            <w:tcW w:w="117pt" w:type="dxa"/>
            <w:vAlign w:val="center"/>
          </w:tcPr>
          <w:p w14:paraId="449C0569" w14:textId="77777777" w:rsidR="009303D9" w:rsidRDefault="009303D9">
            <w:pPr>
              <w:pStyle w:val="tablecolsubhead"/>
            </w:pPr>
            <w:r>
              <w:t>Table column subhead</w:t>
            </w:r>
          </w:p>
        </w:tc>
        <w:tc>
          <w:tcPr>
            <w:tcW w:w="45pt" w:type="dxa"/>
            <w:vAlign w:val="center"/>
          </w:tcPr>
          <w:p w14:paraId="30886FFA" w14:textId="77777777" w:rsidR="009303D9" w:rsidRDefault="009303D9">
            <w:pPr>
              <w:pStyle w:val="tablecolsubhead"/>
            </w:pPr>
            <w:r>
              <w:t>Subhead</w:t>
            </w:r>
          </w:p>
        </w:tc>
        <w:tc>
          <w:tcPr>
            <w:tcW w:w="45pt" w:type="dxa"/>
            <w:vAlign w:val="center"/>
          </w:tcPr>
          <w:p w14:paraId="7D3C93B2" w14:textId="77777777" w:rsidR="009303D9" w:rsidRDefault="009303D9">
            <w:pPr>
              <w:pStyle w:val="tablecolsubhead"/>
            </w:pPr>
            <w:r>
              <w:t>Subhead</w:t>
            </w:r>
          </w:p>
        </w:tc>
      </w:tr>
      <w:tr w:rsidR="009303D9" w14:paraId="7CE24A37" w14:textId="77777777">
        <w:trPr>
          <w:trHeight w:val="320"/>
          <w:jc w:val="center"/>
        </w:trPr>
        <w:tc>
          <w:tcPr>
            <w:tcW w:w="36pt" w:type="dxa"/>
            <w:vAlign w:val="center"/>
          </w:tcPr>
          <w:p w14:paraId="16C5B6EF" w14:textId="77777777" w:rsidR="009303D9" w:rsidRDefault="009303D9">
            <w:pPr>
              <w:pStyle w:val="tablecopy"/>
              <w:rPr>
                <w:sz w:val="8"/>
                <w:szCs w:val="8"/>
              </w:rPr>
            </w:pPr>
            <w:r>
              <w:t>copy</w:t>
            </w:r>
          </w:p>
        </w:tc>
        <w:tc>
          <w:tcPr>
            <w:tcW w:w="117pt" w:type="dxa"/>
            <w:vAlign w:val="center"/>
          </w:tcPr>
          <w:p w14:paraId="3A079A95" w14:textId="77777777" w:rsidR="009303D9" w:rsidRDefault="009303D9">
            <w:pPr>
              <w:pStyle w:val="tablecopy"/>
            </w:pPr>
            <w:r>
              <w:t>More table copy</w:t>
            </w:r>
            <w:r>
              <w:rPr>
                <w:vertAlign w:val="superscript"/>
              </w:rPr>
              <w:t>a</w:t>
            </w:r>
          </w:p>
        </w:tc>
        <w:tc>
          <w:tcPr>
            <w:tcW w:w="45pt" w:type="dxa"/>
            <w:vAlign w:val="center"/>
          </w:tcPr>
          <w:p w14:paraId="50C222F7" w14:textId="77777777" w:rsidR="009303D9" w:rsidRDefault="009303D9">
            <w:pPr>
              <w:rPr>
                <w:sz w:val="16"/>
                <w:szCs w:val="16"/>
              </w:rPr>
            </w:pPr>
          </w:p>
        </w:tc>
        <w:tc>
          <w:tcPr>
            <w:tcW w:w="45pt" w:type="dxa"/>
            <w:vAlign w:val="center"/>
          </w:tcPr>
          <w:p w14:paraId="42C43998" w14:textId="77777777" w:rsidR="009303D9" w:rsidRDefault="009303D9">
            <w:pPr>
              <w:rPr>
                <w:sz w:val="16"/>
                <w:szCs w:val="16"/>
              </w:rPr>
            </w:pPr>
          </w:p>
        </w:tc>
      </w:tr>
    </w:tbl>
    <w:p w14:paraId="1046238F" w14:textId="77777777" w:rsidR="009303D9" w:rsidRPr="005B520E" w:rsidRDefault="009303D9" w:rsidP="005E2800">
      <w:pPr>
        <w:pStyle w:val="tablefootnote"/>
      </w:pPr>
      <w:r>
        <w:t xml:space="preserve">Sample </w:t>
      </w:r>
      <w:r w:rsidRPr="005E2800">
        <w:t>of</w:t>
      </w:r>
      <w:r>
        <w:t xml:space="preserve"> a </w:t>
      </w:r>
      <w:r w:rsidRPr="005B520E">
        <w:t>Table</w:t>
      </w:r>
      <w:r>
        <w:t xml:space="preserve"> </w:t>
      </w:r>
      <w:r w:rsidRPr="003A19E2">
        <w:t>footnote</w:t>
      </w:r>
      <w:r>
        <w:t xml:space="preserve">. </w:t>
      </w:r>
      <w:r w:rsidRPr="005B520E">
        <w:t>(</w:t>
      </w:r>
      <w:r w:rsidRPr="005B0344">
        <w:rPr>
          <w:i/>
        </w:rPr>
        <w:t>Table footnote</w:t>
      </w:r>
      <w:r w:rsidRPr="005B520E">
        <w:t>)</w:t>
      </w:r>
    </w:p>
    <w:p w14:paraId="6DCED6ED" w14:textId="77777777" w:rsidR="005B0344" w:rsidRDefault="005B0344" w:rsidP="003A19E2">
      <w:pPr>
        <w:pStyle w:val="figurecaption"/>
      </w:pPr>
      <w:r>
        <w:t xml:space="preserve">Example of a figure </w:t>
      </w:r>
      <w:r w:rsidRPr="005B520E">
        <w:t>caption</w:t>
      </w:r>
      <w:r>
        <w:t xml:space="preserve">. </w:t>
      </w:r>
      <w:r w:rsidRPr="00575BCA">
        <w:rPr>
          <w:iCs/>
        </w:rPr>
        <w:t>(</w:t>
      </w:r>
      <w:r w:rsidRPr="005B0344">
        <w:rPr>
          <w:i/>
          <w:iCs/>
        </w:rPr>
        <w:t>figure caption</w:t>
      </w:r>
      <w:r w:rsidRPr="00575BCA">
        <w:rPr>
          <w:iCs/>
        </w:rPr>
        <w:t>)</w:t>
      </w:r>
    </w:p>
    <w:p w14:paraId="331821DB" w14:textId="77777777" w:rsidR="0080791D" w:rsidRPr="005B520E" w:rsidRDefault="009303D9" w:rsidP="00E7596C">
      <w:pPr>
        <w:pStyle w:val="a3"/>
      </w:pPr>
      <w:r w:rsidRPr="005B520E">
        <w:t xml:space="preserve">Figure Labels: Use 8 point Times New Roman for Figure labels. Use words rather than symbols or abbreviations when writing Figure axis labels to avoid confusing the reader. As an </w:t>
      </w:r>
      <w:r w:rsidRPr="005B520E">
        <w:t>example, write the quantity “Magnetization”, or “Magnetization, M”, not just “M”. If including units in the label, present them within parentheses. Do not label axes only with units. In the example, write “Magnetization (A/m)” or “Magnetization {A[m(1)]}”, not just “A/m”. Do not label axes</w:t>
      </w:r>
      <w:r w:rsidR="0080791D">
        <w:t xml:space="preserve"> </w:t>
      </w:r>
      <w:r w:rsidR="0080791D" w:rsidRPr="005B520E">
        <w:t>with a ratio of quantities and units. For example, write “Temperature (K)”, not “Temperature/K”.</w:t>
      </w:r>
    </w:p>
    <w:p w14:paraId="3FD7ADCB" w14:textId="77777777" w:rsidR="0080791D" w:rsidRDefault="0080791D" w:rsidP="0080791D">
      <w:pPr>
        <w:pStyle w:val="5"/>
      </w:pPr>
      <w:r w:rsidRPr="005B520E">
        <w:t>Acknowledgment</w:t>
      </w:r>
      <w:r>
        <w:t xml:space="preserve"> </w:t>
      </w:r>
      <w:r>
        <w:rPr>
          <w:i/>
          <w:iCs/>
        </w:rPr>
        <w:t>(</w:t>
      </w:r>
      <w:r w:rsidRPr="00651A08">
        <w:rPr>
          <w:i/>
          <w:iCs/>
          <w:smallCaps w:val="0"/>
        </w:rPr>
        <w:t>Heading 5</w:t>
      </w:r>
      <w:r>
        <w:rPr>
          <w:i/>
          <w:iCs/>
        </w:rPr>
        <w:t>)</w:t>
      </w:r>
    </w:p>
    <w:p w14:paraId="5033196A" w14:textId="77777777" w:rsidR="00575BCA" w:rsidRDefault="0080791D" w:rsidP="00836367">
      <w:pPr>
        <w:pStyle w:val="a3"/>
      </w:pPr>
      <w:r w:rsidRPr="005B520E">
        <w:t>The preferred spelling of the word “acknowledgment” in America is without an “e” after the “g</w:t>
      </w:r>
      <w:r w:rsidR="00AE3409">
        <w:t>”. Avoid the stilted expression “</w:t>
      </w:r>
      <w:proofErr w:type="spellStart"/>
      <w:r w:rsidR="00AE3409">
        <w:rPr>
          <w:lang w:val="en-US"/>
        </w:rPr>
        <w:t>o</w:t>
      </w:r>
      <w:r w:rsidRPr="005B520E">
        <w:t>ne</w:t>
      </w:r>
      <w:proofErr w:type="spellEnd"/>
      <w:r w:rsidRPr="005B520E">
        <w:t xml:space="preserve"> of us (R. B. G.) thanks </w:t>
      </w:r>
      <w:r w:rsidR="00AE3409">
        <w:t>...</w:t>
      </w:r>
      <w:r w:rsidR="00AE3409">
        <w:rPr>
          <w:lang w:val="en-US"/>
        </w:rPr>
        <w:t xml:space="preserve">”.  </w:t>
      </w:r>
      <w:r w:rsidRPr="005B520E">
        <w:t>Instead, try “R. B. G. thanks</w:t>
      </w:r>
      <w:r w:rsidR="00AE3409">
        <w:t>...</w:t>
      </w:r>
      <w:r w:rsidRPr="005B520E">
        <w:t>”.</w:t>
      </w:r>
      <w:r w:rsidR="00F03103">
        <w:rPr>
          <w:lang w:val="en-US"/>
        </w:rPr>
        <w:t xml:space="preserve"> </w:t>
      </w:r>
      <w:r w:rsidRPr="005B520E">
        <w:t>Put spons</w:t>
      </w:r>
      <w:r w:rsidR="00794804">
        <w:t>or acknowledgments in the unnum</w:t>
      </w:r>
      <w:r w:rsidRPr="005B520E">
        <w:t>bered footnote on the first page.</w:t>
      </w:r>
    </w:p>
    <w:p w14:paraId="5362DB16" w14:textId="77777777" w:rsidR="009303D9" w:rsidRDefault="009303D9" w:rsidP="00A059B3">
      <w:pPr>
        <w:pStyle w:val="5"/>
      </w:pPr>
      <w:r w:rsidRPr="005B520E">
        <w:t>References</w:t>
      </w:r>
    </w:p>
    <w:p w14:paraId="127BC432" w14:textId="77777777" w:rsidR="009303D9" w:rsidRPr="005B520E" w:rsidRDefault="009303D9" w:rsidP="00E7596C">
      <w:pPr>
        <w:pStyle w:val="a3"/>
      </w:pPr>
      <w:r w:rsidRPr="005B520E">
        <w:t>The template will number citations consecutively within brackets [1]. The sentence punctuation follows the bracket [2]. Refer simply to the reference number, as in [3]—do not use “Ref. [3]” or “reference [3]” except at the beginning of a sentence: “Reference [3] was the first</w:t>
      </w:r>
      <w:r w:rsidR="00F03103">
        <w:rPr>
          <w:lang w:val="en-US"/>
        </w:rPr>
        <w:t xml:space="preserve"> </w:t>
      </w:r>
      <w:r w:rsidR="00F03103">
        <w:t>...</w:t>
      </w:r>
      <w:r w:rsidRPr="005B520E">
        <w:t>”</w:t>
      </w:r>
    </w:p>
    <w:p w14:paraId="3122668A" w14:textId="77777777" w:rsidR="009303D9" w:rsidRPr="005B520E" w:rsidRDefault="009303D9" w:rsidP="00E7596C">
      <w:pPr>
        <w:pStyle w:val="a3"/>
      </w:pPr>
      <w:r w:rsidRPr="005B520E">
        <w:t>Number footnotes separately in superscripts. Place the actual footnote at the bottom of the column in which it was cited. Do not put footnotes in the</w:t>
      </w:r>
      <w:r w:rsidR="00233D97">
        <w:rPr>
          <w:lang w:val="en-US"/>
        </w:rPr>
        <w:t xml:space="preserve"> abstract or</w:t>
      </w:r>
      <w:r w:rsidRPr="005B520E">
        <w:t xml:space="preserve"> reference list. Use letters for table footnotes.</w:t>
      </w:r>
    </w:p>
    <w:p w14:paraId="0FC494B4" w14:textId="77777777" w:rsidR="009303D9" w:rsidRPr="005B520E" w:rsidRDefault="009303D9" w:rsidP="00E7596C">
      <w:pPr>
        <w:pStyle w:val="a3"/>
      </w:pPr>
      <w:r w:rsidRPr="005B520E">
        <w:t>Unless there are six au</w:t>
      </w:r>
      <w:r w:rsidR="00C919A4">
        <w:t>thors or more give all authors</w:t>
      </w:r>
      <w:r w:rsidR="00C919A4">
        <w:rPr>
          <w:lang w:val="en-US"/>
        </w:rPr>
        <w:t xml:space="preserve">’ </w:t>
      </w:r>
      <w:r w:rsidRPr="005B520E">
        <w:t>names; do not use “et al.”. Papers that have not been published, even if they have been submitted for publication, should be cited as “unpublished” [4]. Papers that have been accepted for publication should be cited as “in press” [5]. Capitalize only the first word in a paper title, except for proper nouns and element symbols.</w:t>
      </w:r>
    </w:p>
    <w:p w14:paraId="03896555" w14:textId="77777777" w:rsidR="009303D9" w:rsidRPr="005B520E" w:rsidRDefault="009303D9" w:rsidP="00E7596C">
      <w:pPr>
        <w:pStyle w:val="a3"/>
      </w:pPr>
      <w:r w:rsidRPr="005B520E">
        <w:t xml:space="preserve">For </w:t>
      </w:r>
      <w:r w:rsidRPr="00C919A4">
        <w:t>papers</w:t>
      </w:r>
      <w:r w:rsidRPr="005B520E">
        <w:t xml:space="preserve"> published in translation journals, please give the English citation first, followed by the original foreign-language citation [6].</w:t>
      </w:r>
    </w:p>
    <w:p w14:paraId="49011A3C" w14:textId="77777777" w:rsidR="009303D9" w:rsidRPr="005B520E" w:rsidRDefault="009303D9"/>
    <w:p w14:paraId="59CBABA5" w14:textId="244991C7" w:rsidR="001E5FF0" w:rsidRPr="001E5FF0" w:rsidRDefault="001E5FF0" w:rsidP="001E5FF0">
      <w:pPr>
        <w:pStyle w:val="references"/>
      </w:pPr>
      <w:r w:rsidRPr="001E5FF0">
        <w:t xml:space="preserve">S. Moradi, N. Qiao, F. Stefanini, and G. Indiveri, “A Scalable Multicore Architecture With Heterogeneous Memory Structures for Dynamic Neuromorphic Asynchronous Processors (DYNAPs),” </w:t>
      </w:r>
      <w:r w:rsidRPr="001E5FF0">
        <w:rPr>
          <w:i/>
          <w:iCs/>
        </w:rPr>
        <w:t>IEEE Transactions on Biomedical Circuits and Systems</w:t>
      </w:r>
      <w:r w:rsidRPr="001E5FF0">
        <w:t>, vol. 12, no. 1, pp. 106–122, Feb. 2018, doi: 10.1109/TBCAS.2017.2759700.</w:t>
      </w:r>
    </w:p>
    <w:p w14:paraId="7584B985" w14:textId="1AAA13B8" w:rsidR="001E5FF0" w:rsidRPr="001E5FF0" w:rsidRDefault="001E5FF0" w:rsidP="001E5FF0">
      <w:pPr>
        <w:pStyle w:val="references"/>
      </w:pPr>
      <w:r w:rsidRPr="001E5FF0">
        <w:t xml:space="preserve">Z. Su, A. Bencsik, G. Indiveri, and D. Bertozzi, “An Efficient Multicast Addressing Encoding Scheme for Multi-Core Neuromorphic Processors,” in </w:t>
      </w:r>
      <w:r w:rsidRPr="001E5FF0">
        <w:rPr>
          <w:i/>
          <w:iCs/>
        </w:rPr>
        <w:t>Proc. IEEE International Symposium on Circuits and Systems (ISCAS)</w:t>
      </w:r>
      <w:r w:rsidRPr="001E5FF0">
        <w:t>, 2025, doi: 10.1109/ISCAS56072.2025.11043591.</w:t>
      </w:r>
    </w:p>
    <w:p w14:paraId="7FCE28AF" w14:textId="7E2A4A91" w:rsidR="001E5FF0" w:rsidRPr="001E5FF0" w:rsidRDefault="001E5FF0" w:rsidP="001E5FF0">
      <w:pPr>
        <w:pStyle w:val="references"/>
      </w:pPr>
      <w:r w:rsidRPr="001E5FF0">
        <w:t xml:space="preserve">P. Merolla, J. Arthur, R. Alvarez-Icaza, J.-M. Bussat, and K. Boahen, “A Multicast Tree Router for Multichip Neuromorphic Systems,” </w:t>
      </w:r>
      <w:r w:rsidRPr="001E5FF0">
        <w:rPr>
          <w:i/>
          <w:iCs/>
        </w:rPr>
        <w:t>IEEE Transactions on Circuits and Systems I: Regular Papers</w:t>
      </w:r>
      <w:r w:rsidRPr="001E5FF0">
        <w:t>, vol. 61, no. 3, pp. 820–833, Mar. 2014, doi: 10.1109/TCSI.2013.2284184.</w:t>
      </w:r>
    </w:p>
    <w:p w14:paraId="22FBCE11" w14:textId="6C40DEAC" w:rsidR="001E5FF0" w:rsidRPr="001E5FF0" w:rsidRDefault="001E5FF0" w:rsidP="001E5FF0">
      <w:pPr>
        <w:pStyle w:val="references"/>
      </w:pPr>
      <w:r w:rsidRPr="001E5FF0">
        <w:t xml:space="preserve"> M. Davies </w:t>
      </w:r>
      <w:r w:rsidRPr="001E5FF0">
        <w:rPr>
          <w:i/>
          <w:iCs/>
        </w:rPr>
        <w:t>et al.</w:t>
      </w:r>
      <w:r w:rsidRPr="001E5FF0">
        <w:t xml:space="preserve">, “Loihi: A Neuromorphic Manycore Processor with On-Chip Learning,” </w:t>
      </w:r>
      <w:r w:rsidRPr="001E5FF0">
        <w:rPr>
          <w:i/>
          <w:iCs/>
        </w:rPr>
        <w:t>IEEE Micro</w:t>
      </w:r>
      <w:r w:rsidRPr="001E5FF0">
        <w:t>, vol. 38, no. 1, pp. 82–99, Jan./Feb. 2018, doi: 10.1109/MM.2018.112130359.</w:t>
      </w:r>
    </w:p>
    <w:p w14:paraId="311D2BD5" w14:textId="3B402200" w:rsidR="001E5FF0" w:rsidRPr="001E5FF0" w:rsidRDefault="001E5FF0" w:rsidP="001E5FF0">
      <w:pPr>
        <w:pStyle w:val="references"/>
      </w:pPr>
      <w:r w:rsidRPr="001E5FF0">
        <w:t xml:space="preserve">N. Enright Jerger, L.-S. Peh, and M. H. Lipasti, “Virtual Circuit Tree Multicasting: A Case for On-Chip Hardware Multicast Support,” in </w:t>
      </w:r>
      <w:r w:rsidRPr="001E5FF0">
        <w:rPr>
          <w:i/>
          <w:iCs/>
        </w:rPr>
        <w:t>Proc. 35th Annual International Symposium on Computer Architecture (ISCA)</w:t>
      </w:r>
      <w:r w:rsidRPr="001E5FF0">
        <w:t>, 2008, pp. 229–240, doi: 10.1109/ISCA.2008.12.</w:t>
      </w:r>
    </w:p>
    <w:p w14:paraId="4727530F" w14:textId="13CB7871" w:rsidR="001E5FF0" w:rsidRPr="001E5FF0" w:rsidRDefault="001E5FF0" w:rsidP="001E5FF0">
      <w:pPr>
        <w:pStyle w:val="references"/>
      </w:pPr>
      <w:r w:rsidRPr="001E5FF0">
        <w:t xml:space="preserve">K. Bhardwaj and S. M. Nowick, “A Continuous-Time Replication Strategy for Efficient Multicast in Asynchronous NoCs,” </w:t>
      </w:r>
      <w:r w:rsidRPr="001E5FF0">
        <w:rPr>
          <w:i/>
          <w:iCs/>
        </w:rPr>
        <w:t>IEEE Transactions on Very Large Scale Integration (VLSI) Systems</w:t>
      </w:r>
      <w:r w:rsidRPr="001E5FF0">
        <w:t>, vol. 27, no. 2, pp. 350–363, Feb. 2019, doi: 10.1109/TVLSI.2018.2876856.</w:t>
      </w:r>
    </w:p>
    <w:p w14:paraId="4AAA47A2" w14:textId="18136B3A" w:rsidR="001E5FF0" w:rsidRPr="001E5FF0" w:rsidRDefault="001E5FF0" w:rsidP="001E5FF0">
      <w:pPr>
        <w:pStyle w:val="references"/>
      </w:pPr>
      <w:r w:rsidRPr="001E5FF0">
        <w:t xml:space="preserve">S. M. Nowick and M. Singh, “Asynchronous Design—Part 1: Overview and Recent Advances,” </w:t>
      </w:r>
      <w:r w:rsidRPr="001E5FF0">
        <w:rPr>
          <w:i/>
          <w:iCs/>
        </w:rPr>
        <w:t>IEEE Design &amp; Test</w:t>
      </w:r>
      <w:r w:rsidRPr="001E5FF0">
        <w:t>, vol. 32, no. 3, pp. 5–18, May/Jun. 2015, doi: 10.1109/MDAT.2015.2413759.</w:t>
      </w:r>
    </w:p>
    <w:p w14:paraId="018ADBE3" w14:textId="48E77BEF" w:rsidR="001E5FF0" w:rsidRPr="001E5FF0" w:rsidRDefault="001E5FF0" w:rsidP="001E5FF0">
      <w:pPr>
        <w:pStyle w:val="references"/>
      </w:pPr>
      <w:r w:rsidRPr="001E5FF0">
        <w:t xml:space="preserve">D. Bertozzi, G. Miorandi, A. Ghiribaldi, W. Burleson, G. Sadowski, K. Bhardwaj, W. Jiang, and S. M. Nowick, “Cost-Effective and Flexible Asynchronous Interconnect Technology for GALS Systems,” </w:t>
      </w:r>
      <w:r w:rsidRPr="001E5FF0">
        <w:rPr>
          <w:i/>
          <w:iCs/>
        </w:rPr>
        <w:t xml:space="preserve">IEEE </w:t>
      </w:r>
      <w:r w:rsidRPr="001E5FF0">
        <w:rPr>
          <w:i/>
          <w:iCs/>
        </w:rPr>
        <w:lastRenderedPageBreak/>
        <w:t>Micro</w:t>
      </w:r>
      <w:r w:rsidRPr="001E5FF0">
        <w:t>, vol. 41, no. 1, pp. 69–81, Jan./Feb. 2021, doi: 10.1109/MM.2020.3002790.</w:t>
      </w:r>
    </w:p>
    <w:p w14:paraId="47223243" w14:textId="34A54E19" w:rsidR="001E5FF0" w:rsidRPr="001E5FF0" w:rsidRDefault="001E5FF0" w:rsidP="001E5FF0">
      <w:pPr>
        <w:pStyle w:val="references"/>
      </w:pPr>
      <w:r w:rsidRPr="001E5FF0">
        <w:t xml:space="preserve">W. J. Dally and B. Towles, </w:t>
      </w:r>
      <w:r w:rsidRPr="001E5FF0">
        <w:rPr>
          <w:i/>
          <w:iCs/>
        </w:rPr>
        <w:t>Principles and Practices of Interconnection Networks</w:t>
      </w:r>
      <w:r w:rsidRPr="001E5FF0">
        <w:t>. San Francisco, CA, USA: Morgan Kaufmann, 2004.</w:t>
      </w:r>
    </w:p>
    <w:p w14:paraId="05EF00EC" w14:textId="3055BE18" w:rsidR="001E5FF0" w:rsidRPr="001E5FF0" w:rsidRDefault="001E5FF0" w:rsidP="001E5FF0">
      <w:pPr>
        <w:pStyle w:val="references"/>
      </w:pPr>
      <w:r w:rsidRPr="001E5FF0">
        <w:t xml:space="preserve">P. A. Merolla </w:t>
      </w:r>
      <w:r w:rsidRPr="001E5FF0">
        <w:rPr>
          <w:i/>
          <w:iCs/>
        </w:rPr>
        <w:t>et al.</w:t>
      </w:r>
      <w:r w:rsidRPr="001E5FF0">
        <w:t xml:space="preserve">, “A Million Spiking-Neuron Integrated Circuit with a Scalable Communication Network and Interface,” </w:t>
      </w:r>
      <w:r w:rsidRPr="001E5FF0">
        <w:rPr>
          <w:i/>
          <w:iCs/>
        </w:rPr>
        <w:t>Science</w:t>
      </w:r>
      <w:r w:rsidRPr="001E5FF0">
        <w:t>, vol. 345, no. 6197, pp. 668–673, Aug. 2014, doi: 10.1126/science.1254642.</w:t>
      </w:r>
    </w:p>
    <w:p w14:paraId="3D030EBD" w14:textId="54934FAC" w:rsidR="001E5FF0" w:rsidRPr="001E5FF0" w:rsidRDefault="001E5FF0" w:rsidP="001E5FF0">
      <w:pPr>
        <w:pStyle w:val="references"/>
      </w:pPr>
      <w:r w:rsidRPr="001E5FF0">
        <w:t>Intel Labs, “Taking Neuromorphic Computing to the Next Level with Loihi 2,” Intel Labs Technology Brief, 2021.</w:t>
      </w:r>
    </w:p>
    <w:p w14:paraId="39593A8F" w14:textId="68DE9D9F" w:rsidR="001E5FF0" w:rsidRPr="001E5FF0" w:rsidRDefault="001E5FF0" w:rsidP="001E5FF0">
      <w:pPr>
        <w:pStyle w:val="references"/>
      </w:pPr>
      <w:r w:rsidRPr="001E5FF0">
        <w:t xml:space="preserve">Intel Corporation, “Intel Builds World’s Largest Neuromorphic System to Enable More Sustainable AI,” </w:t>
      </w:r>
      <w:r w:rsidRPr="001E5FF0">
        <w:rPr>
          <w:i/>
          <w:iCs/>
        </w:rPr>
        <w:t>Intel Newsroom</w:t>
      </w:r>
      <w:r w:rsidRPr="001E5FF0">
        <w:t>, Apr. 17, 2024.</w:t>
      </w:r>
    </w:p>
    <w:p w14:paraId="2F2847E2" w14:textId="059F828A" w:rsidR="001E5FF0" w:rsidRPr="001E5FF0" w:rsidRDefault="001E5FF0" w:rsidP="001E5FF0">
      <w:pPr>
        <w:pStyle w:val="references"/>
      </w:pPr>
      <w:r w:rsidRPr="001E5FF0">
        <w:t xml:space="preserve">Y. Zhong </w:t>
      </w:r>
      <w:r w:rsidRPr="001E5FF0">
        <w:rPr>
          <w:i/>
          <w:iCs/>
        </w:rPr>
        <w:t>et al.</w:t>
      </w:r>
      <w:r w:rsidRPr="001E5FF0">
        <w:t xml:space="preserve">, “PAICORE: A 1.9-Million-Neuron 5.181-TSOPS/W Digital Neuromorphic Processor With Unified SNN-ANN and On-Chip Learning Paradigm,” </w:t>
      </w:r>
      <w:r w:rsidRPr="001E5FF0">
        <w:rPr>
          <w:i/>
          <w:iCs/>
        </w:rPr>
        <w:t>IEEE Journal of Solid-State Circuits</w:t>
      </w:r>
      <w:r w:rsidRPr="001E5FF0">
        <w:t>, vol. 60, no. 2, pp. 651–671, Feb. 2025, doi: 10.1109/JSSC.2024.3426319.</w:t>
      </w:r>
    </w:p>
    <w:p w14:paraId="5F0F3FDC" w14:textId="77777777" w:rsidR="009303D9" w:rsidRDefault="009303D9" w:rsidP="00836367">
      <w:pPr>
        <w:pStyle w:val="references"/>
        <w:numPr>
          <w:ilvl w:val="0"/>
          <w:numId w:val="0"/>
        </w:numPr>
        <w:ind w:start="18pt" w:hanging="18pt"/>
      </w:pPr>
    </w:p>
    <w:p w14:paraId="6711C4F1" w14:textId="77777777" w:rsidR="00836367" w:rsidRPr="00F96569" w:rsidRDefault="00836367" w:rsidP="008B6524">
      <w:pPr>
        <w:pStyle w:val="references"/>
        <w:numPr>
          <w:ilvl w:val="0"/>
          <w:numId w:val="0"/>
        </w:numPr>
        <w:spacing w:line="12pt" w:lineRule="auto"/>
        <w:ind w:start="18pt" w:hanging="18pt"/>
        <w:jc w:val="center"/>
        <w:rPr>
          <w:rFonts w:eastAsia="宋体"/>
          <w:b/>
          <w:noProof w:val="0"/>
          <w:color w:val="FF0000"/>
          <w:spacing w:val="-1"/>
          <w:sz w:val="20"/>
          <w:szCs w:val="20"/>
          <w:lang w:val="x-none" w:eastAsia="x-none"/>
        </w:rPr>
        <w:sectPr w:rsidR="00836367" w:rsidRPr="00F96569" w:rsidSect="003B4E04">
          <w:type w:val="continuous"/>
          <w:pgSz w:w="595.30pt" w:h="841.90pt" w:code="9"/>
          <w:pgMar w:top="54pt" w:right="45.35pt" w:bottom="72pt" w:left="45.35pt" w:header="36pt" w:footer="36pt" w:gutter="0pt"/>
          <w:cols w:num="2" w:space="18pt"/>
          <w:docGrid w:linePitch="360"/>
        </w:sectPr>
      </w:pPr>
      <w:r w:rsidRPr="00F96569">
        <w:rPr>
          <w:rFonts w:eastAsia="宋体"/>
          <w:b/>
          <w:noProof w:val="0"/>
          <w:color w:val="FF0000"/>
          <w:spacing w:val="-1"/>
          <w:sz w:val="20"/>
          <w:szCs w:val="20"/>
          <w:lang w:val="x-none" w:eastAsia="x-none"/>
        </w:rPr>
        <w:t xml:space="preserve">IEEE conference templates contain guidance text for composing and formatting conference papers. Please ensure that all template text is removed from your conference paper prior to submission to the conference. Failure to remove template text from your paper </w:t>
      </w:r>
      <w:r w:rsidR="00E165BC">
        <w:rPr>
          <w:rFonts w:eastAsia="宋体"/>
          <w:b/>
          <w:noProof w:val="0"/>
          <w:color w:val="FF0000"/>
          <w:spacing w:val="-1"/>
          <w:sz w:val="20"/>
          <w:szCs w:val="20"/>
          <w:lang w:eastAsia="x-none"/>
        </w:rPr>
        <w:t>may</w:t>
      </w:r>
      <w:r w:rsidRPr="00F96569">
        <w:rPr>
          <w:rFonts w:eastAsia="宋体"/>
          <w:b/>
          <w:noProof w:val="0"/>
          <w:color w:val="FF0000"/>
          <w:spacing w:val="-1"/>
          <w:sz w:val="20"/>
          <w:szCs w:val="20"/>
          <w:lang w:val="x-none" w:eastAsia="x-none"/>
        </w:rPr>
        <w:t xml:space="preserve"> result in your paper not being published.</w:t>
      </w:r>
    </w:p>
    <w:p w14:paraId="2FBD5294" w14:textId="77777777" w:rsidR="009303D9" w:rsidRDefault="003B2B40" w:rsidP="005B520E">
      <w:r>
        <w:rPr>
          <w:noProof/>
        </w:rPr>
        <w:drawing>
          <wp:anchor distT="0" distB="0" distL="114300" distR="114300" simplePos="0" relativeHeight="251657728" behindDoc="1" locked="0" layoutInCell="1" allowOverlap="1" wp14:anchorId="0D15C95E" wp14:editId="17DAC736">
            <wp:simplePos x="0" y="0"/>
            <wp:positionH relativeFrom="margin">
              <wp:align>left</wp:align>
            </wp:positionH>
            <wp:positionV relativeFrom="paragraph">
              <wp:posOffset>251460</wp:posOffset>
            </wp:positionV>
            <wp:extent cx="3200400" cy="1143000"/>
            <wp:effectExtent l="10795" t="5080" r="8255" b="13970"/>
            <wp:wrapTight wrapText="bothSides">
              <wp:wrapPolygon edited="0">
                <wp:start x="-64" y="0"/>
                <wp:lineTo x="-64" y="21600"/>
                <wp:lineTo x="21664" y="21600"/>
                <wp:lineTo x="21664" y="0"/>
                <wp:lineTo x="-64" y="0"/>
              </wp:wrapPolygon>
            </wp:wrapTight>
            <wp:docPr id="1" name="Text Box 8"/>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00400" cy="1143000"/>
                    </a:xfrm>
                    <a:prstGeom prst="rect">
                      <a:avLst/>
                    </a:prstGeom>
                    <a:solidFill>
                      <a:srgbClr val="FFFFFF"/>
                    </a:solidFill>
                    <a:ln w="9525">
                      <a:solidFill>
                        <a:srgbClr val="000000"/>
                      </a:solidFill>
                      <a:miter lim="800%"/>
                      <a:headEnd/>
                      <a:tailEnd/>
                    </a:ln>
                  </wp:spPr>
                  <wp:txbx>
                    <wne:txbxContent>
                      <w:p w14:paraId="609B6A92" w14:textId="77777777" w:rsidR="0080791D" w:rsidRDefault="0080791D" w:rsidP="00E7596C">
                        <w:pPr>
                          <w:pStyle w:val="a3"/>
                        </w:pPr>
                        <w:r>
                          <w:t>We suggest that you use a text box to insert a graphic (which is ideally a 300 dpi TIFF or EPS file, with all fonts embedded) because, in an MSW document, this method is somewhat more stable than directly inserting a picture.</w:t>
                        </w:r>
                      </w:p>
                      <w:p w14:paraId="4554535B" w14:textId="77777777" w:rsidR="0080791D" w:rsidRDefault="0080791D" w:rsidP="00E7596C">
                        <w:pPr>
                          <w:pStyle w:val="a3"/>
                        </w:pPr>
                        <w:r>
                          <w:t>To have non-visible rules on your frame, use the MSWord “Format” pull-down menu, select Text Box &gt; Colors and Lines to choose No Fill and No Line.</w:t>
                        </w:r>
                      </w:p>
                    </wne:txbxContent>
                  </wp:txbx>
                  <wp:bodyPr rot="0"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346009D4" w14:textId="77777777" w:rsidR="0043656C" w:rsidRDefault="0043656C" w:rsidP="001A3B3D">
      <w:r>
        <w:separator/>
      </w:r>
    </w:p>
  </w:endnote>
  <w:endnote w:type="continuationSeparator" w:id="0">
    <w:p w14:paraId="52A1AB3E" w14:textId="77777777" w:rsidR="0043656C" w:rsidRDefault="0043656C"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宋体">
    <w:altName w:val="SimSun"/>
    <w:panose1 w:val="02010600030101010101"/>
    <w:charset w:characterSet="GBK"/>
    <w:family w:val="auto"/>
    <w:pitch w:val="variable"/>
    <w:sig w:usb0="00000203" w:usb1="288F0000" w:usb2="00000016" w:usb3="00000000" w:csb0="00040001" w:csb1="00000000"/>
  </w:font>
  <w:font w:name="MS Mincho">
    <w:panose1 w:val="02020609040205080304"/>
    <w:charset w:characterSet="shift_jis"/>
    <w:family w:val="modern"/>
    <w:pitch w:val="fixed"/>
    <w:sig w:usb0="E00002FF" w:usb1="6AC7FDFB" w:usb2="08000012" w:usb3="00000000" w:csb0="0002009F" w:csb1="00000000"/>
  </w:font>
  <w:font w:name="等线">
    <w:altName w:val="DengXian"/>
    <w:panose1 w:val="02010600030101010101"/>
    <w:charset w:characterSet="GBK"/>
    <w:family w:val="auto"/>
    <w:pitch w:val="variable"/>
    <w:sig w:usb0="A00002BF" w:usb1="38CF7CFA" w:usb2="00000016" w:usb3="00000000" w:csb0="0004000F" w:csb1="00000000"/>
  </w:font>
  <w:font w:name="等线 Light">
    <w:panose1 w:val="02010600030101010101"/>
    <w:charset w:characterSet="GBK"/>
    <w:family w:val="auto"/>
    <w:pitch w:val="variable"/>
    <w:sig w:usb0="A00002BF" w:usb1="38CF7CFA" w:usb2="00000016" w:usb3="00000000" w:csb0="0004000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04175E12" w14:textId="77777777" w:rsidR="001A3B3D" w:rsidRPr="006F6D3D" w:rsidRDefault="001A3B3D" w:rsidP="0056610F">
    <w:pPr>
      <w:pStyle w:val="a7"/>
      <w:jc w:val="start"/>
      <w:rPr>
        <w:sz w:val="16"/>
        <w:szCs w:val="16"/>
      </w:rPr>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2575008E" w14:textId="77777777" w:rsidR="0043656C" w:rsidRDefault="0043656C" w:rsidP="001A3B3D">
      <w:r>
        <w:separator/>
      </w:r>
    </w:p>
  </w:footnote>
  <w:footnote w:type="continuationSeparator" w:id="0">
    <w:p w14:paraId="4CCB37DF" w14:textId="77777777" w:rsidR="0043656C" w:rsidRDefault="0043656C"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494884087">
    <w:abstractNumId w:val="14"/>
  </w:num>
  <w:num w:numId="2" w16cid:durableId="1448812936">
    <w:abstractNumId w:val="19"/>
  </w:num>
  <w:num w:numId="3" w16cid:durableId="825049764">
    <w:abstractNumId w:val="13"/>
  </w:num>
  <w:num w:numId="4" w16cid:durableId="692846868">
    <w:abstractNumId w:val="16"/>
  </w:num>
  <w:num w:numId="5" w16cid:durableId="1840147049">
    <w:abstractNumId w:val="16"/>
  </w:num>
  <w:num w:numId="6" w16cid:durableId="921794076">
    <w:abstractNumId w:val="16"/>
  </w:num>
  <w:num w:numId="7" w16cid:durableId="1555657263">
    <w:abstractNumId w:val="16"/>
  </w:num>
  <w:num w:numId="8" w16cid:durableId="806822304">
    <w:abstractNumId w:val="18"/>
  </w:num>
  <w:num w:numId="9" w16cid:durableId="1491672074">
    <w:abstractNumId w:val="20"/>
  </w:num>
  <w:num w:numId="10" w16cid:durableId="181210210">
    <w:abstractNumId w:val="15"/>
  </w:num>
  <w:num w:numId="11" w16cid:durableId="256643598">
    <w:abstractNumId w:val="12"/>
  </w:num>
  <w:num w:numId="12" w16cid:durableId="602540639">
    <w:abstractNumId w:val="11"/>
  </w:num>
  <w:num w:numId="13" w16cid:durableId="797333068">
    <w:abstractNumId w:val="0"/>
  </w:num>
  <w:num w:numId="14" w16cid:durableId="291374885">
    <w:abstractNumId w:val="10"/>
  </w:num>
  <w:num w:numId="15" w16cid:durableId="173306716">
    <w:abstractNumId w:val="8"/>
  </w:num>
  <w:num w:numId="16" w16cid:durableId="384526391">
    <w:abstractNumId w:val="7"/>
  </w:num>
  <w:num w:numId="17" w16cid:durableId="1794009021">
    <w:abstractNumId w:val="6"/>
  </w:num>
  <w:num w:numId="18" w16cid:durableId="544100202">
    <w:abstractNumId w:val="5"/>
  </w:num>
  <w:num w:numId="19" w16cid:durableId="1250772546">
    <w:abstractNumId w:val="9"/>
  </w:num>
  <w:num w:numId="20" w16cid:durableId="1866864038">
    <w:abstractNumId w:val="4"/>
  </w:num>
  <w:num w:numId="21" w16cid:durableId="224147195">
    <w:abstractNumId w:val="3"/>
  </w:num>
  <w:num w:numId="22" w16cid:durableId="676032206">
    <w:abstractNumId w:val="2"/>
  </w:num>
  <w:num w:numId="23" w16cid:durableId="43650921">
    <w:abstractNumId w:val="1"/>
  </w:num>
  <w:num w:numId="24" w16cid:durableId="1997951207">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bordersDoNotSurroundHeader/>
  <w:bordersDoNotSurroundFooter/>
  <w:proofState w:spelling="clean" w:grammar="clean"/>
  <w:defaultTabStop w:val="36pt"/>
  <w:autoHyphenation/>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53E4C"/>
    <w:rsid w:val="00060A88"/>
    <w:rsid w:val="0008758A"/>
    <w:rsid w:val="00091475"/>
    <w:rsid w:val="000B11A6"/>
    <w:rsid w:val="000C1E68"/>
    <w:rsid w:val="00117FC8"/>
    <w:rsid w:val="00170FCE"/>
    <w:rsid w:val="001A2EFD"/>
    <w:rsid w:val="001A3B3D"/>
    <w:rsid w:val="001B67DC"/>
    <w:rsid w:val="001B78C5"/>
    <w:rsid w:val="001C1B78"/>
    <w:rsid w:val="001E5FF0"/>
    <w:rsid w:val="00212214"/>
    <w:rsid w:val="002254A9"/>
    <w:rsid w:val="00233D97"/>
    <w:rsid w:val="002347A2"/>
    <w:rsid w:val="002850E3"/>
    <w:rsid w:val="002C2859"/>
    <w:rsid w:val="003220ED"/>
    <w:rsid w:val="00323AD6"/>
    <w:rsid w:val="0033320D"/>
    <w:rsid w:val="00336151"/>
    <w:rsid w:val="00354FCF"/>
    <w:rsid w:val="00391A84"/>
    <w:rsid w:val="003A19E2"/>
    <w:rsid w:val="003B0A81"/>
    <w:rsid w:val="003B2B40"/>
    <w:rsid w:val="003B4E04"/>
    <w:rsid w:val="003D6D65"/>
    <w:rsid w:val="003F5A08"/>
    <w:rsid w:val="00420716"/>
    <w:rsid w:val="00423C5F"/>
    <w:rsid w:val="004325FB"/>
    <w:rsid w:val="0043656C"/>
    <w:rsid w:val="00436EEB"/>
    <w:rsid w:val="004432BA"/>
    <w:rsid w:val="0044407E"/>
    <w:rsid w:val="00447BB9"/>
    <w:rsid w:val="00451ECE"/>
    <w:rsid w:val="0046031D"/>
    <w:rsid w:val="004710EB"/>
    <w:rsid w:val="00473AC9"/>
    <w:rsid w:val="004D72B5"/>
    <w:rsid w:val="004E6053"/>
    <w:rsid w:val="00505425"/>
    <w:rsid w:val="005165C5"/>
    <w:rsid w:val="00551B7F"/>
    <w:rsid w:val="005630BA"/>
    <w:rsid w:val="005656F8"/>
    <w:rsid w:val="0056610F"/>
    <w:rsid w:val="00575BCA"/>
    <w:rsid w:val="005B0344"/>
    <w:rsid w:val="005B520E"/>
    <w:rsid w:val="005E1E9F"/>
    <w:rsid w:val="005E2800"/>
    <w:rsid w:val="005F0E0B"/>
    <w:rsid w:val="00605825"/>
    <w:rsid w:val="00643F1A"/>
    <w:rsid w:val="00645D22"/>
    <w:rsid w:val="00651A08"/>
    <w:rsid w:val="00654204"/>
    <w:rsid w:val="0066458D"/>
    <w:rsid w:val="00670434"/>
    <w:rsid w:val="00677054"/>
    <w:rsid w:val="006B12F7"/>
    <w:rsid w:val="006B5C35"/>
    <w:rsid w:val="006B6B66"/>
    <w:rsid w:val="006B741D"/>
    <w:rsid w:val="006D10F2"/>
    <w:rsid w:val="006E6BCA"/>
    <w:rsid w:val="006F23D6"/>
    <w:rsid w:val="006F6D3D"/>
    <w:rsid w:val="00712977"/>
    <w:rsid w:val="007140CD"/>
    <w:rsid w:val="00715BEA"/>
    <w:rsid w:val="00720B4A"/>
    <w:rsid w:val="00740EEA"/>
    <w:rsid w:val="00767138"/>
    <w:rsid w:val="00770F52"/>
    <w:rsid w:val="00791B26"/>
    <w:rsid w:val="00794804"/>
    <w:rsid w:val="007B33F1"/>
    <w:rsid w:val="007B6DDA"/>
    <w:rsid w:val="007C0308"/>
    <w:rsid w:val="007C2FF2"/>
    <w:rsid w:val="007C4664"/>
    <w:rsid w:val="007D6232"/>
    <w:rsid w:val="007E1D24"/>
    <w:rsid w:val="007F1F99"/>
    <w:rsid w:val="007F6079"/>
    <w:rsid w:val="007F768F"/>
    <w:rsid w:val="008059F1"/>
    <w:rsid w:val="0080791D"/>
    <w:rsid w:val="00836367"/>
    <w:rsid w:val="0086578A"/>
    <w:rsid w:val="00873603"/>
    <w:rsid w:val="008A2C7D"/>
    <w:rsid w:val="008B6524"/>
    <w:rsid w:val="008C2768"/>
    <w:rsid w:val="008C4B23"/>
    <w:rsid w:val="008E06DF"/>
    <w:rsid w:val="008E133B"/>
    <w:rsid w:val="008F6E2C"/>
    <w:rsid w:val="00926EB0"/>
    <w:rsid w:val="009303D9"/>
    <w:rsid w:val="009323ED"/>
    <w:rsid w:val="00933C64"/>
    <w:rsid w:val="00937CE9"/>
    <w:rsid w:val="0095407C"/>
    <w:rsid w:val="00972203"/>
    <w:rsid w:val="009D19C0"/>
    <w:rsid w:val="009F1D79"/>
    <w:rsid w:val="009F67D9"/>
    <w:rsid w:val="00A059B3"/>
    <w:rsid w:val="00A25831"/>
    <w:rsid w:val="00A26DC7"/>
    <w:rsid w:val="00A31E7E"/>
    <w:rsid w:val="00A44E8D"/>
    <w:rsid w:val="00A454C9"/>
    <w:rsid w:val="00A526B7"/>
    <w:rsid w:val="00A54C71"/>
    <w:rsid w:val="00AA448F"/>
    <w:rsid w:val="00AE3409"/>
    <w:rsid w:val="00B05E64"/>
    <w:rsid w:val="00B11A60"/>
    <w:rsid w:val="00B16AED"/>
    <w:rsid w:val="00B22613"/>
    <w:rsid w:val="00B44A76"/>
    <w:rsid w:val="00B768D1"/>
    <w:rsid w:val="00BA1025"/>
    <w:rsid w:val="00BB5678"/>
    <w:rsid w:val="00BC3420"/>
    <w:rsid w:val="00BC7E0E"/>
    <w:rsid w:val="00BD670B"/>
    <w:rsid w:val="00BE7D3C"/>
    <w:rsid w:val="00BF5FF6"/>
    <w:rsid w:val="00C0207F"/>
    <w:rsid w:val="00C16117"/>
    <w:rsid w:val="00C21520"/>
    <w:rsid w:val="00C3075A"/>
    <w:rsid w:val="00C55E4D"/>
    <w:rsid w:val="00C70AFA"/>
    <w:rsid w:val="00C87415"/>
    <w:rsid w:val="00C919A4"/>
    <w:rsid w:val="00C94C01"/>
    <w:rsid w:val="00CA4392"/>
    <w:rsid w:val="00CC393F"/>
    <w:rsid w:val="00CD2F7F"/>
    <w:rsid w:val="00D2176E"/>
    <w:rsid w:val="00D357F3"/>
    <w:rsid w:val="00D436E6"/>
    <w:rsid w:val="00D632BE"/>
    <w:rsid w:val="00D72D06"/>
    <w:rsid w:val="00D7397B"/>
    <w:rsid w:val="00D7522C"/>
    <w:rsid w:val="00D7536F"/>
    <w:rsid w:val="00D76668"/>
    <w:rsid w:val="00D85A13"/>
    <w:rsid w:val="00DD78DD"/>
    <w:rsid w:val="00DF1729"/>
    <w:rsid w:val="00E07383"/>
    <w:rsid w:val="00E165BC"/>
    <w:rsid w:val="00E61E12"/>
    <w:rsid w:val="00E625D4"/>
    <w:rsid w:val="00E7596C"/>
    <w:rsid w:val="00E878F2"/>
    <w:rsid w:val="00EB6324"/>
    <w:rsid w:val="00ED0149"/>
    <w:rsid w:val="00ED2F20"/>
    <w:rsid w:val="00EE17D7"/>
    <w:rsid w:val="00EF7DE3"/>
    <w:rsid w:val="00F03103"/>
    <w:rsid w:val="00F271DE"/>
    <w:rsid w:val="00F36B6A"/>
    <w:rsid w:val="00F47BDC"/>
    <w:rsid w:val="00F611AE"/>
    <w:rsid w:val="00F627DA"/>
    <w:rsid w:val="00F7288F"/>
    <w:rsid w:val="00F847A6"/>
    <w:rsid w:val="00F86419"/>
    <w:rsid w:val="00F9441B"/>
    <w:rsid w:val="00FA4C32"/>
    <w:rsid w:val="00FE6793"/>
    <w:rsid w:val="00FE71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4BBCB856"/>
  <w15:chartTrackingRefBased/>
  <w15:docId w15:val="{DC6F56D8-3340-4059-9CA3-5C31D1343A08}"/>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Preformatted"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jc w:val="center"/>
    </w:pPr>
  </w:style>
  <w:style w:type="paragraph" w:styleId="1">
    <w:name w:val="heading 1"/>
    <w:basedOn w:val="a"/>
    <w:next w:val="a"/>
    <w:qFormat/>
    <w:rsid w:val="006B6B66"/>
    <w:pPr>
      <w:keepNext/>
      <w:keepLines/>
      <w:numPr>
        <w:numId w:val="4"/>
      </w:numPr>
      <w:tabs>
        <w:tab w:val="start" w:pos="10.80pt"/>
      </w:tabs>
      <w:spacing w:before="8pt" w:after="4pt"/>
      <w:ind w:firstLine="0pt"/>
      <w:outlineLvl w:val="0"/>
    </w:pPr>
    <w:rPr>
      <w:smallCaps/>
      <w:noProof/>
    </w:rPr>
  </w:style>
  <w:style w:type="paragraph" w:styleId="2">
    <w:name w:val="heading 2"/>
    <w:basedOn w:val="a"/>
    <w:next w:val="a"/>
    <w:link w:val="20"/>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3">
    <w:name w:val="heading 3"/>
    <w:basedOn w:val="a"/>
    <w:next w:val="a"/>
    <w:qFormat/>
    <w:rsid w:val="00794804"/>
    <w:pPr>
      <w:numPr>
        <w:ilvl w:val="2"/>
        <w:numId w:val="4"/>
      </w:numPr>
      <w:spacing w:line="12pt" w:lineRule="exact"/>
      <w:ind w:firstLine="14.40pt"/>
      <w:jc w:val="both"/>
      <w:outlineLvl w:val="2"/>
    </w:pPr>
    <w:rPr>
      <w:i/>
      <w:iCs/>
      <w:noProof/>
    </w:rPr>
  </w:style>
  <w:style w:type="paragraph" w:styleId="4">
    <w:name w:val="heading 4"/>
    <w:basedOn w:val="a"/>
    <w:next w:val="a"/>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5">
    <w:name w:val="heading 5"/>
    <w:basedOn w:val="a"/>
    <w:next w:val="a"/>
    <w:qFormat/>
    <w:pPr>
      <w:tabs>
        <w:tab w:val="start" w:pos="18pt"/>
      </w:tabs>
      <w:spacing w:before="8pt" w:after="4pt"/>
      <w:outlineLvl w:val="4"/>
    </w:pPr>
    <w:rPr>
      <w:smallCaps/>
      <w:noProof/>
    </w:rPr>
  </w:style>
  <w:style w:type="character" w:default="1" w:styleId="a0">
    <w:name w:val="Default Paragraph Font"/>
    <w:uiPriority w:val="1"/>
    <w:unhideWhenUsed/>
  </w:style>
  <w:style w:type="table" w:default="1" w:styleId="a1">
    <w:name w:val="Normal Table"/>
    <w:uiPriority w:val="99"/>
    <w:semiHidden/>
    <w:unhideWhenUsed/>
    <w:tblPr>
      <w:tblInd w:w="0pt" w:type="dxa"/>
      <w:tblCellMar>
        <w:top w:w="0pt" w:type="dxa"/>
        <w:start w:w="5.40pt" w:type="dxa"/>
        <w:bottom w:w="0pt" w:type="dxa"/>
        <w:end w:w="5.40pt" w:type="dxa"/>
      </w:tblCellMar>
    </w:tblPr>
  </w:style>
  <w:style w:type="numbering" w:default="1" w:styleId="a2">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a3">
    <w:name w:val="Body Text"/>
    <w:basedOn w:val="a"/>
    <w:link w:val="a4"/>
    <w:rsid w:val="00E7596C"/>
    <w:pPr>
      <w:tabs>
        <w:tab w:val="start" w:pos="14.40pt"/>
      </w:tabs>
      <w:spacing w:after="6pt" w:line="11.40pt" w:lineRule="auto"/>
      <w:ind w:firstLine="14.40pt"/>
      <w:jc w:val="both"/>
    </w:pPr>
    <w:rPr>
      <w:spacing w:val="-1"/>
      <w:lang w:val="x-none" w:eastAsia="x-none"/>
    </w:rPr>
  </w:style>
  <w:style w:type="character" w:customStyle="1" w:styleId="a4">
    <w:name w:val="正文文本 字符"/>
    <w:link w:val="a3"/>
    <w:rsid w:val="00E7596C"/>
    <w:rPr>
      <w:spacing w:val="-1"/>
      <w:lang w:val="x-none" w:eastAsia="x-none"/>
    </w:rPr>
  </w:style>
  <w:style w:type="paragraph" w:customStyle="1" w:styleId="bulletlist">
    <w:name w:val="bullet list"/>
    <w:basedOn w:val="a3"/>
    <w:rsid w:val="001B67DC"/>
    <w:pPr>
      <w:numPr>
        <w:numId w:val="1"/>
      </w:numPr>
      <w:tabs>
        <w:tab w:val="clear" w:pos="32.40pt"/>
      </w:tabs>
      <w:ind w:start="28.80pt" w:hanging="14.40pt"/>
    </w:pPr>
  </w:style>
  <w:style w:type="paragraph" w:customStyle="1" w:styleId="equation">
    <w:name w:val="equation"/>
    <w:basedOn w:val="a"/>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a5">
    <w:name w:val="header"/>
    <w:basedOn w:val="a"/>
    <w:link w:val="a6"/>
    <w:rsid w:val="001A3B3D"/>
    <w:pPr>
      <w:tabs>
        <w:tab w:val="center" w:pos="234pt"/>
        <w:tab w:val="end" w:pos="468pt"/>
      </w:tabs>
    </w:pPr>
  </w:style>
  <w:style w:type="character" w:customStyle="1" w:styleId="a6">
    <w:name w:val="页眉 字符"/>
    <w:basedOn w:val="a0"/>
    <w:link w:val="a5"/>
    <w:rsid w:val="001A3B3D"/>
  </w:style>
  <w:style w:type="paragraph" w:styleId="a7">
    <w:name w:val="footer"/>
    <w:basedOn w:val="a"/>
    <w:link w:val="a8"/>
    <w:rsid w:val="001A3B3D"/>
    <w:pPr>
      <w:tabs>
        <w:tab w:val="center" w:pos="234pt"/>
        <w:tab w:val="end" w:pos="468pt"/>
      </w:tabs>
    </w:pPr>
  </w:style>
  <w:style w:type="character" w:customStyle="1" w:styleId="a8">
    <w:name w:val="页脚 字符"/>
    <w:basedOn w:val="a0"/>
    <w:link w:val="a7"/>
    <w:rsid w:val="001A3B3D"/>
  </w:style>
  <w:style w:type="character" w:styleId="a9">
    <w:name w:val="annotation reference"/>
    <w:basedOn w:val="a0"/>
    <w:rsid w:val="00AA448F"/>
    <w:rPr>
      <w:sz w:val="21"/>
      <w:szCs w:val="21"/>
    </w:rPr>
  </w:style>
  <w:style w:type="paragraph" w:styleId="aa">
    <w:name w:val="annotation text"/>
    <w:basedOn w:val="a"/>
    <w:link w:val="ab"/>
    <w:rsid w:val="00AA448F"/>
    <w:pPr>
      <w:jc w:val="start"/>
    </w:pPr>
  </w:style>
  <w:style w:type="character" w:customStyle="1" w:styleId="ab">
    <w:name w:val="批注文字 字符"/>
    <w:basedOn w:val="a0"/>
    <w:link w:val="aa"/>
    <w:rsid w:val="00AA448F"/>
  </w:style>
  <w:style w:type="paragraph" w:styleId="ac">
    <w:name w:val="annotation subject"/>
    <w:basedOn w:val="aa"/>
    <w:next w:val="aa"/>
    <w:link w:val="ad"/>
    <w:rsid w:val="00AA448F"/>
    <w:rPr>
      <w:b/>
      <w:bCs/>
    </w:rPr>
  </w:style>
  <w:style w:type="character" w:customStyle="1" w:styleId="ad">
    <w:name w:val="批注主题 字符"/>
    <w:basedOn w:val="ab"/>
    <w:link w:val="ac"/>
    <w:rsid w:val="00AA448F"/>
    <w:rPr>
      <w:b/>
      <w:bCs/>
    </w:rPr>
  </w:style>
  <w:style w:type="character" w:customStyle="1" w:styleId="20">
    <w:name w:val="标题 2 字符"/>
    <w:basedOn w:val="a0"/>
    <w:link w:val="2"/>
    <w:rsid w:val="00770F52"/>
    <w:rPr>
      <w:i/>
      <w:iCs/>
      <w:noProof/>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5" Type="http://purl.oclc.org/ooxml/officeDocument/relationships/webSettings" Target="webSettings.xml"/><Relationship Id="rId10" Type="http://purl.oclc.org/ooxml/officeDocument/relationships/theme" Target="theme/theme1.xml"/><Relationship Id="rId4" Type="http://purl.oclc.org/ooxml/officeDocument/relationships/settings" Target="settings.xml"/><Relationship Id="rId9"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0886783A-7790-9B4E-A29D-B1082E6B3F06}">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8933</TotalTime>
  <Pages>1</Pages>
  <Words>3900</Words>
  <Characters>21729</Characters>
  <Application>Microsoft Office Word</Application>
  <DocSecurity>0</DocSecurity>
  <Lines>505</Lines>
  <Paragraphs>125</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25504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dc:description/>
  <cp:lastModifiedBy>力言 赵</cp:lastModifiedBy>
  <cp:revision>6</cp:revision>
  <dcterms:created xsi:type="dcterms:W3CDTF">2026-09-01T13:32:00Z</dcterms:created>
  <dcterms:modified xsi:type="dcterms:W3CDTF">2026-09-10T07:22:00Z</dcterms:modified>
</cp:coreProperties>
</file>