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rFonts w:hint="eastAsia"/>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rFonts w:hint="eastAsia"/>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7AAA6E85"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775ECCC3" w14:textId="7DFFF908" w:rsidR="009303D9" w:rsidRPr="00D632BE" w:rsidRDefault="009303D9" w:rsidP="006B6B66">
      <w:pPr>
        <w:pStyle w:val="1"/>
      </w:pPr>
      <w:r w:rsidRPr="00D632BE">
        <w:t xml:space="preserve">Introduction </w:t>
      </w:r>
    </w:p>
    <w:p w14:paraId="3D3DB020" w14:textId="4ACB64EE" w:rsidR="00D429E6" w:rsidRPr="00D429E6" w:rsidRDefault="00D429E6" w:rsidP="00D429E6">
      <w:pPr>
        <w:pStyle w:val="a3"/>
        <w:rPr>
          <w:lang w:val="en-US"/>
        </w:rPr>
      </w:pPr>
      <w:r w:rsidRPr="00D429E6">
        <w:rPr>
          <w:lang w:val="en-US"/>
        </w:rPr>
        <w:t>Modern computing platforms are evolving toward increasingly large-scale and highly parallel architectures, including many-core processors, GPUs, wafer-scale accelerators, and neuromorphic systems. As illustrated in Fig. 1, representative platforms have substantially expanded their computing resources and processing capabilities, alongside rising chip-to-chip bandwidth. These trends place growing demands on data movement and communication among processing elements, making the on-chip interconnect a critical factor in overall system performance. Consequently, networks-on-chip (</w:t>
      </w:r>
      <w:proofErr w:type="spellStart"/>
      <w:r w:rsidRPr="00D429E6">
        <w:rPr>
          <w:lang w:val="en-US"/>
        </w:rPr>
        <w:t>NoCs</w:t>
      </w:r>
      <w:proofErr w:type="spellEnd"/>
      <w:r w:rsidRPr="00D429E6">
        <w:rPr>
          <w:lang w:val="en-US"/>
        </w:rPr>
        <w:t>) must provide low-latency, high-throughput, and energy-efficient communication while remaining scalable to larger systems.</w:t>
      </w:r>
    </w:p>
    <w:p w14:paraId="0AE25D23" w14:textId="0D8E1F15" w:rsidR="009303D9" w:rsidRPr="005B520E" w:rsidRDefault="00A27362" w:rsidP="00A27362">
      <w:pPr>
        <w:pStyle w:val="a3"/>
        <w:ind w:firstLine="0pt"/>
        <w:rPr>
          <w:rFonts w:hint="eastAsia"/>
          <w:lang w:eastAsia="zh-CN"/>
        </w:rPr>
      </w:pPr>
      <w:r>
        <w:rPr>
          <w:rFonts w:hint="eastAsia"/>
          <w:noProof/>
          <w:lang w:eastAsia="zh-CN"/>
        </w:rPr>
        <w:drawing>
          <wp:inline distT="0" distB="0" distL="0" distR="0" wp14:anchorId="204B11FE" wp14:editId="50094ABE">
            <wp:extent cx="3089910" cy="1713865"/>
            <wp:effectExtent l="0" t="0" r="0" b="635"/>
            <wp:docPr id="113410819" name="图形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3410819" name="图形 113410819"/>
                    <pic:cNvPicPr/>
                  </pic:nvPicPr>
                  <pic:blipFill>
                    <a:blip r:embed="rId9">
                      <a:extLst>
                        <a:ext uri="{96DAC541-7B7A-43D3-8B79-37D633B846F1}">
                          <asvg:svgBlip xmlns:asvg="http://schemas.microsoft.com/office/drawing/2016/SVG/main" r:embed="rId10"/>
                        </a:ext>
                      </a:extLst>
                    </a:blip>
                    <a:stretch>
                      <a:fillRect/>
                    </a:stretch>
                  </pic:blipFill>
                  <pic:spPr>
                    <a:xfrm>
                      <a:off x="0" y="0"/>
                      <a:ext cx="3089910" cy="1713865"/>
                    </a:xfrm>
                    <a:prstGeom prst="rect">
                      <a:avLst/>
                    </a:prstGeom>
                  </pic:spPr>
                </pic:pic>
              </a:graphicData>
            </a:graphic>
          </wp:inline>
        </w:drawing>
      </w:r>
    </w:p>
    <w:p w14:paraId="291BCAC7" w14:textId="77777777" w:rsidR="009303D9" w:rsidRPr="006B6B66" w:rsidRDefault="009303D9" w:rsidP="006B6B66">
      <w:pPr>
        <w:pStyle w:val="1"/>
      </w:pPr>
      <w:r w:rsidRPr="006B6B66">
        <w:t>Ease of Use</w:t>
      </w:r>
    </w:p>
    <w:p w14:paraId="2A3EFD93" w14:textId="77777777" w:rsidR="009303D9" w:rsidRDefault="009303D9" w:rsidP="00ED0149">
      <w:pPr>
        <w:pStyle w:val="2"/>
      </w:pPr>
      <w:r>
        <w:t xml:space="preserve">Selecting a </w:t>
      </w:r>
      <w:r w:rsidRPr="00F271DE">
        <w:t>Template</w:t>
      </w:r>
      <w:r>
        <w:t xml:space="preserve"> (Heading 2)</w:t>
      </w:r>
    </w:p>
    <w:p w14:paraId="4D92BC9B"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w:t>
      </w:r>
    </w:p>
    <w:p w14:paraId="115A55BC" w14:textId="77777777" w:rsidR="009303D9" w:rsidRPr="005B520E" w:rsidRDefault="009303D9" w:rsidP="00ED0149">
      <w:pPr>
        <w:pStyle w:val="2"/>
      </w:pPr>
      <w:r w:rsidRPr="005B520E">
        <w:t>Maintaining the Integrity of the Specifications</w:t>
      </w:r>
    </w:p>
    <w:p w14:paraId="5197D574" w14:textId="77777777" w:rsidR="009303D9" w:rsidRPr="005B520E" w:rsidRDefault="009303D9" w:rsidP="00E7596C">
      <w:pPr>
        <w:pStyle w:val="a3"/>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48E499E8" w14:textId="77777777" w:rsidR="009303D9" w:rsidRDefault="009303D9" w:rsidP="006B6B66">
      <w:pPr>
        <w:pStyle w:val="1"/>
      </w:pPr>
      <w:r>
        <w:t xml:space="preserve">Prepare Your Paper </w:t>
      </w:r>
      <w:r w:rsidRPr="005B520E">
        <w:t>Before</w:t>
      </w:r>
      <w:r>
        <w:t xml:space="preserve"> Styling</w:t>
      </w:r>
    </w:p>
    <w:p w14:paraId="04F14029"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 xml:space="preserve">Complete all content and organizational editing before formatting. Please note sections </w:t>
      </w:r>
      <w:r w:rsidR="00D7522C">
        <w:rPr>
          <w:lang w:val="en-US"/>
        </w:rPr>
        <w:t>A-D below for more information on proofreading, spelling and grammar.</w:t>
      </w:r>
    </w:p>
    <w:p w14:paraId="3637276F"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CF08C30" w14:textId="77777777" w:rsidR="009303D9" w:rsidRDefault="009303D9" w:rsidP="00ED0149">
      <w:pPr>
        <w:pStyle w:val="2"/>
      </w:pPr>
      <w:r w:rsidRPr="00ED0149">
        <w:t>Abbreviations</w:t>
      </w:r>
      <w:r>
        <w:t xml:space="preserve"> and Acronyms</w:t>
      </w:r>
    </w:p>
    <w:p w14:paraId="333EF67D"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182E65D" w14:textId="77777777" w:rsidR="009303D9" w:rsidRDefault="009303D9" w:rsidP="00ED0149">
      <w:pPr>
        <w:pStyle w:val="2"/>
      </w:pPr>
      <w:r>
        <w:t>Units</w:t>
      </w:r>
    </w:p>
    <w:p w14:paraId="65CC462A"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8ACA4ED"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24018F9"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300AF27B"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2F053359"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58FAEED" w14:textId="77777777" w:rsidR="009303D9" w:rsidRPr="005B520E" w:rsidRDefault="009303D9" w:rsidP="00ED0149">
      <w:pPr>
        <w:pStyle w:val="2"/>
      </w:pPr>
      <w:r w:rsidRPr="005B520E">
        <w:t>Equations</w:t>
      </w:r>
    </w:p>
    <w:p w14:paraId="2436B2E2"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1795A72" w14:textId="77777777" w:rsidR="009303D9" w:rsidRPr="00D7522C" w:rsidRDefault="009303D9" w:rsidP="00E7596C">
      <w:pPr>
        <w:pStyle w:val="a3"/>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78FB929"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FBF0308" w14:textId="77777777" w:rsidR="009303D9" w:rsidRDefault="009303D9" w:rsidP="00E7596C">
      <w:pPr>
        <w:pStyle w:val="a3"/>
      </w:pPr>
      <w:r>
        <w:t xml:space="preserve">Note that the equation is centered using a center tab stop. Be sure that the symbols in your equation have been defined before or immediately following the equation. Use “(1)”, not </w:t>
      </w:r>
      <w:r>
        <w:lastRenderedPageBreak/>
        <w:t>“Eq. (1)” or “equation (1)”, except at the beginning of a sentence: “Equation (1) is . . .”</w:t>
      </w:r>
    </w:p>
    <w:p w14:paraId="4DE41908" w14:textId="77777777" w:rsidR="009303D9" w:rsidRDefault="009303D9" w:rsidP="00ED0149">
      <w:pPr>
        <w:pStyle w:val="2"/>
      </w:pPr>
      <w:r>
        <w:t>Some Common Mistakes</w:t>
      </w:r>
    </w:p>
    <w:p w14:paraId="42A11A8D" w14:textId="77777777" w:rsidR="009303D9" w:rsidRPr="005B520E" w:rsidRDefault="009303D9" w:rsidP="00E7596C">
      <w:pPr>
        <w:pStyle w:val="bulletlist"/>
      </w:pPr>
      <w:r w:rsidRPr="005B520E">
        <w:t>The word “data” is plural, not singular.</w:t>
      </w:r>
    </w:p>
    <w:p w14:paraId="39847A79"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A5B5956"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0D7F08D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5D83F135" w14:textId="77777777" w:rsidR="009303D9" w:rsidRPr="005B520E" w:rsidRDefault="009303D9" w:rsidP="00E7596C">
      <w:pPr>
        <w:pStyle w:val="bulletlist"/>
      </w:pPr>
      <w:r w:rsidRPr="005B520E">
        <w:t>Do not use the word “essentially” to mean “approximately” or “effectively”.</w:t>
      </w:r>
    </w:p>
    <w:p w14:paraId="29C95FD0"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2D6D7512"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5B310A74" w14:textId="77777777" w:rsidR="009303D9" w:rsidRPr="005B520E" w:rsidRDefault="009303D9" w:rsidP="00E7596C">
      <w:pPr>
        <w:pStyle w:val="bulletlist"/>
      </w:pPr>
      <w:r w:rsidRPr="005B520E">
        <w:t>Do not confuse “imply” and “infer”.</w:t>
      </w:r>
    </w:p>
    <w:p w14:paraId="036AF8F5" w14:textId="77777777" w:rsidR="009303D9" w:rsidRPr="005B520E" w:rsidRDefault="009303D9" w:rsidP="00E7596C">
      <w:pPr>
        <w:pStyle w:val="bulletlist"/>
      </w:pPr>
      <w:r w:rsidRPr="005B520E">
        <w:t>The prefix “non” is not a word; it should be joined to the word it modifies, usually without a hyphen.</w:t>
      </w:r>
    </w:p>
    <w:p w14:paraId="39DD894C" w14:textId="77777777" w:rsidR="009303D9" w:rsidRPr="005B520E" w:rsidRDefault="009303D9" w:rsidP="00E7596C">
      <w:pPr>
        <w:pStyle w:val="bulletlist"/>
      </w:pPr>
      <w:r w:rsidRPr="005B520E">
        <w:t>There is no period after the “et” in the Latin abbreviation “et al.”.</w:t>
      </w:r>
    </w:p>
    <w:p w14:paraId="02E90E97" w14:textId="77777777" w:rsidR="009303D9" w:rsidRPr="005B520E" w:rsidRDefault="009303D9" w:rsidP="00E7596C">
      <w:pPr>
        <w:pStyle w:val="bulletlist"/>
      </w:pPr>
      <w:r w:rsidRPr="005B520E">
        <w:t>The abbreviation “i.e.” means “that is”, and the abbreviation “e.g.” means “for example”.</w:t>
      </w:r>
    </w:p>
    <w:p w14:paraId="41E17280" w14:textId="77777777" w:rsidR="009303D9" w:rsidRPr="005B520E" w:rsidRDefault="009303D9" w:rsidP="00E7596C">
      <w:pPr>
        <w:pStyle w:val="a3"/>
      </w:pPr>
      <w:r w:rsidRPr="005B520E">
        <w:t>An excellent style manual for science writers is [7].</w:t>
      </w:r>
    </w:p>
    <w:p w14:paraId="00F26276" w14:textId="77777777" w:rsidR="009303D9" w:rsidRDefault="009303D9" w:rsidP="006B6B66">
      <w:pPr>
        <w:pStyle w:val="1"/>
      </w:pPr>
      <w:r>
        <w:t xml:space="preserve">Using the </w:t>
      </w:r>
      <w:r w:rsidRPr="005B520E">
        <w:t>Template</w:t>
      </w:r>
    </w:p>
    <w:p w14:paraId="6DB7F7B2" w14:textId="77777777" w:rsidR="009303D9" w:rsidRPr="005B520E" w:rsidRDefault="009303D9" w:rsidP="00E7596C">
      <w:pPr>
        <w:pStyle w:val="a3"/>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5A655A9" w14:textId="77777777" w:rsidR="009303D9" w:rsidRDefault="009303D9" w:rsidP="00ED0149">
      <w:pPr>
        <w:pStyle w:val="2"/>
      </w:pPr>
      <w:r w:rsidRPr="005B520E">
        <w:t>Authors</w:t>
      </w:r>
      <w:r>
        <w:t xml:space="preserve"> and Affiliations</w:t>
      </w:r>
    </w:p>
    <w:p w14:paraId="19310C4A"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 xml:space="preserve">Names should not be listed in columns </w:t>
      </w:r>
      <w:r w:rsidR="00D7522C">
        <w:t>nor group by affiliation.</w:t>
      </w:r>
      <w:r w:rsidR="002850E3">
        <w:rPr>
          <w:lang w:val="en-US"/>
        </w:rPr>
        <w:t xml:space="preserve"> </w:t>
      </w:r>
      <w:r w:rsidRPr="005B520E">
        <w:t>Please keep your affiliations as succinct as possible (for example, do not differentiate among departments of the same organization).</w:t>
      </w:r>
    </w:p>
    <w:p w14:paraId="09B128D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6C7844D3"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CF53D80"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745323D"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4A526BA"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ECB7BE0" w14:textId="77777777" w:rsidR="006F6D3D" w:rsidRDefault="006F6D3D" w:rsidP="006F6D3D">
      <w:pPr>
        <w:jc w:val="start"/>
        <w:rPr>
          <w:i/>
          <w:iCs/>
          <w:noProof/>
        </w:rPr>
      </w:pPr>
    </w:p>
    <w:p w14:paraId="2F5BECBC" w14:textId="77777777" w:rsidR="009303D9" w:rsidRDefault="009303D9" w:rsidP="00ED0149">
      <w:pPr>
        <w:pStyle w:val="2"/>
      </w:pPr>
      <w:r w:rsidRPr="005B520E">
        <w:t>Identify</w:t>
      </w:r>
      <w:r>
        <w:t xml:space="preserve"> the Headings</w:t>
      </w:r>
    </w:p>
    <w:p w14:paraId="7495B026"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D93A96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4D78BBF"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2C18ED5D" w14:textId="77777777" w:rsidR="009303D9" w:rsidRDefault="009303D9" w:rsidP="00ED0149">
      <w:pPr>
        <w:pStyle w:val="2"/>
      </w:pPr>
      <w:r>
        <w:t>Figures and Tables</w:t>
      </w:r>
    </w:p>
    <w:p w14:paraId="5356CD7E"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4164A44"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6447543" w14:textId="77777777">
        <w:trPr>
          <w:cantSplit/>
          <w:trHeight w:val="240"/>
          <w:tblHeader/>
          <w:jc w:val="center"/>
        </w:trPr>
        <w:tc>
          <w:tcPr>
            <w:tcW w:w="36pt" w:type="dxa"/>
            <w:vMerge w:val="restart"/>
            <w:vAlign w:val="center"/>
          </w:tcPr>
          <w:p w14:paraId="262BF755" w14:textId="77777777" w:rsidR="009303D9" w:rsidRDefault="009303D9">
            <w:pPr>
              <w:pStyle w:val="tablecolhead"/>
            </w:pPr>
            <w:r>
              <w:t>Table Head</w:t>
            </w:r>
          </w:p>
        </w:tc>
        <w:tc>
          <w:tcPr>
            <w:tcW w:w="207pt" w:type="dxa"/>
            <w:gridSpan w:val="3"/>
            <w:vAlign w:val="center"/>
          </w:tcPr>
          <w:p w14:paraId="7FBC4F8B" w14:textId="77777777" w:rsidR="009303D9" w:rsidRDefault="009303D9">
            <w:pPr>
              <w:pStyle w:val="tablecolhead"/>
            </w:pPr>
            <w:r>
              <w:t>Table Column Head</w:t>
            </w:r>
          </w:p>
        </w:tc>
      </w:tr>
      <w:tr w:rsidR="009303D9" w14:paraId="54C7E64E" w14:textId="77777777">
        <w:trPr>
          <w:cantSplit/>
          <w:trHeight w:val="240"/>
          <w:tblHeader/>
          <w:jc w:val="center"/>
        </w:trPr>
        <w:tc>
          <w:tcPr>
            <w:tcW w:w="36pt" w:type="dxa"/>
            <w:vMerge/>
          </w:tcPr>
          <w:p w14:paraId="3B538F97" w14:textId="77777777" w:rsidR="009303D9" w:rsidRDefault="009303D9">
            <w:pPr>
              <w:rPr>
                <w:sz w:val="16"/>
                <w:szCs w:val="16"/>
              </w:rPr>
            </w:pPr>
          </w:p>
        </w:tc>
        <w:tc>
          <w:tcPr>
            <w:tcW w:w="117pt" w:type="dxa"/>
            <w:vAlign w:val="center"/>
          </w:tcPr>
          <w:p w14:paraId="0FB85E43" w14:textId="77777777" w:rsidR="009303D9" w:rsidRDefault="009303D9">
            <w:pPr>
              <w:pStyle w:val="tablecolsubhead"/>
            </w:pPr>
            <w:r>
              <w:t>Table column subhead</w:t>
            </w:r>
          </w:p>
        </w:tc>
        <w:tc>
          <w:tcPr>
            <w:tcW w:w="45pt" w:type="dxa"/>
            <w:vAlign w:val="center"/>
          </w:tcPr>
          <w:p w14:paraId="2F04F1FA" w14:textId="77777777" w:rsidR="009303D9" w:rsidRDefault="009303D9">
            <w:pPr>
              <w:pStyle w:val="tablecolsubhead"/>
            </w:pPr>
            <w:r>
              <w:t>Subhead</w:t>
            </w:r>
          </w:p>
        </w:tc>
        <w:tc>
          <w:tcPr>
            <w:tcW w:w="45pt" w:type="dxa"/>
            <w:vAlign w:val="center"/>
          </w:tcPr>
          <w:p w14:paraId="6BC3E227" w14:textId="77777777" w:rsidR="009303D9" w:rsidRDefault="009303D9">
            <w:pPr>
              <w:pStyle w:val="tablecolsubhead"/>
            </w:pPr>
            <w:r>
              <w:t>Subhead</w:t>
            </w:r>
          </w:p>
        </w:tc>
      </w:tr>
      <w:tr w:rsidR="009303D9" w14:paraId="10F8B5C2" w14:textId="77777777">
        <w:trPr>
          <w:trHeight w:val="320"/>
          <w:jc w:val="center"/>
        </w:trPr>
        <w:tc>
          <w:tcPr>
            <w:tcW w:w="36pt" w:type="dxa"/>
            <w:vAlign w:val="center"/>
          </w:tcPr>
          <w:p w14:paraId="13DB2D28" w14:textId="77777777" w:rsidR="009303D9" w:rsidRDefault="009303D9">
            <w:pPr>
              <w:pStyle w:val="tablecopy"/>
              <w:rPr>
                <w:sz w:val="8"/>
                <w:szCs w:val="8"/>
              </w:rPr>
            </w:pPr>
            <w:r>
              <w:t>copy</w:t>
            </w:r>
          </w:p>
        </w:tc>
        <w:tc>
          <w:tcPr>
            <w:tcW w:w="117pt" w:type="dxa"/>
            <w:vAlign w:val="center"/>
          </w:tcPr>
          <w:p w14:paraId="5A6023CF" w14:textId="77777777" w:rsidR="009303D9" w:rsidRDefault="009303D9">
            <w:pPr>
              <w:pStyle w:val="tablecopy"/>
            </w:pPr>
            <w:r>
              <w:t>More table copy</w:t>
            </w:r>
            <w:r>
              <w:rPr>
                <w:vertAlign w:val="superscript"/>
              </w:rPr>
              <w:t>a</w:t>
            </w:r>
          </w:p>
        </w:tc>
        <w:tc>
          <w:tcPr>
            <w:tcW w:w="45pt" w:type="dxa"/>
            <w:vAlign w:val="center"/>
          </w:tcPr>
          <w:p w14:paraId="354A9298" w14:textId="77777777" w:rsidR="009303D9" w:rsidRDefault="009303D9">
            <w:pPr>
              <w:rPr>
                <w:sz w:val="16"/>
                <w:szCs w:val="16"/>
              </w:rPr>
            </w:pPr>
          </w:p>
        </w:tc>
        <w:tc>
          <w:tcPr>
            <w:tcW w:w="45pt" w:type="dxa"/>
            <w:vAlign w:val="center"/>
          </w:tcPr>
          <w:p w14:paraId="08E69542" w14:textId="77777777" w:rsidR="009303D9" w:rsidRDefault="009303D9">
            <w:pPr>
              <w:rPr>
                <w:sz w:val="16"/>
                <w:szCs w:val="16"/>
              </w:rPr>
            </w:pPr>
          </w:p>
        </w:tc>
      </w:tr>
    </w:tbl>
    <w:p w14:paraId="3061907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29F01FE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7C042E90" w14:textId="77777777" w:rsidR="0080791D" w:rsidRPr="005B520E" w:rsidRDefault="009303D9" w:rsidP="00E7596C">
      <w:pPr>
        <w:pStyle w:val="a3"/>
      </w:pPr>
      <w:r w:rsidRPr="005B520E">
        <w:t xml:space="preserve">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t>
      </w:r>
      <w:r w:rsidRPr="005B520E">
        <w:lastRenderedPageBreak/>
        <w:t>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477B481E"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F8A7FD6"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F5725E2" w14:textId="77777777" w:rsidR="009303D9" w:rsidRDefault="009303D9" w:rsidP="00A059B3">
      <w:pPr>
        <w:pStyle w:val="5"/>
      </w:pPr>
      <w:r w:rsidRPr="005B520E">
        <w:t>References</w:t>
      </w:r>
    </w:p>
    <w:p w14:paraId="2D553395"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38A8A4DC"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38C95B92"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1FCACD1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422B28D9" w14:textId="77777777" w:rsidR="009303D9" w:rsidRPr="005B520E" w:rsidRDefault="009303D9"/>
    <w:p w14:paraId="0CCAF4D6"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611F6DB6" w14:textId="77777777" w:rsidR="009303D9" w:rsidRDefault="009303D9" w:rsidP="0004781E">
      <w:pPr>
        <w:pStyle w:val="references"/>
        <w:ind w:start="17.70pt" w:hanging="17.70pt"/>
      </w:pPr>
      <w:r>
        <w:t>J. Clerk Maxwell, A Treatise on Electricity and Magnetism, 3rd ed., vol. 2. Oxford: Clarendon, 1892, pp.68–73.</w:t>
      </w:r>
    </w:p>
    <w:p w14:paraId="0DC0D342"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9755348" w14:textId="77777777" w:rsidR="009303D9" w:rsidRDefault="009303D9" w:rsidP="0004781E">
      <w:pPr>
        <w:pStyle w:val="references"/>
        <w:ind w:start="17.70pt" w:hanging="17.70pt"/>
      </w:pPr>
      <w:r>
        <w:t>K. Elissa, “Title of paper if known,” unpublished.</w:t>
      </w:r>
    </w:p>
    <w:p w14:paraId="6508D5DC" w14:textId="77777777" w:rsidR="009303D9" w:rsidRDefault="009303D9" w:rsidP="0004781E">
      <w:pPr>
        <w:pStyle w:val="references"/>
        <w:ind w:start="17.70pt" w:hanging="17.70pt"/>
      </w:pPr>
      <w:r>
        <w:t>R. Nicole, “Title of paper with only first word capitalized,” J. Name Stand. Abbrev., in press.</w:t>
      </w:r>
    </w:p>
    <w:p w14:paraId="1F01378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CBD2C3D" w14:textId="77777777" w:rsidR="009303D9" w:rsidRDefault="009303D9" w:rsidP="0004781E">
      <w:pPr>
        <w:pStyle w:val="references"/>
        <w:ind w:start="17.70pt" w:hanging="17.70pt"/>
      </w:pPr>
      <w:r>
        <w:t>M. Young, The Technical Writer</w:t>
      </w:r>
      <w:r w:rsidR="00E7596C">
        <w:t>’</w:t>
      </w:r>
      <w:r>
        <w:t>s Handbook. Mill Valley, CA: University Science, 1989.</w:t>
      </w:r>
    </w:p>
    <w:p w14:paraId="5056D7FB" w14:textId="77777777" w:rsidR="009303D9" w:rsidRDefault="009303D9" w:rsidP="00836367">
      <w:pPr>
        <w:pStyle w:val="references"/>
        <w:numPr>
          <w:ilvl w:val="0"/>
          <w:numId w:val="0"/>
        </w:numPr>
        <w:ind w:start="18pt" w:hanging="18pt"/>
      </w:pPr>
    </w:p>
    <w:p w14:paraId="2EA89E63"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15D10C84" w14:textId="77777777" w:rsidR="009303D9" w:rsidRDefault="003B2B40" w:rsidP="005B520E">
      <w:r>
        <w:rPr>
          <w:noProof/>
        </w:rPr>
        <w:drawing>
          <wp:anchor distT="0" distB="0" distL="114300" distR="114300" simplePos="0" relativeHeight="251657728" behindDoc="1" locked="0" layoutInCell="1" allowOverlap="1" wp14:anchorId="0FD9E18C" wp14:editId="34AE772D">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060FA8B9"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1C8646D"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636FD12" w14:textId="77777777" w:rsidR="003F6FD3" w:rsidRDefault="003F6FD3" w:rsidP="001A3B3D">
      <w:r>
        <w:separator/>
      </w:r>
    </w:p>
  </w:endnote>
  <w:endnote w:type="continuationSeparator" w:id="0">
    <w:p w14:paraId="60642386" w14:textId="77777777" w:rsidR="003F6FD3" w:rsidRDefault="003F6FD3"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766F529" w14:textId="77777777" w:rsidR="003F6FD3" w:rsidRDefault="003F6FD3" w:rsidP="001A3B3D">
      <w:r>
        <w:separator/>
      </w:r>
    </w:p>
  </w:footnote>
  <w:footnote w:type="continuationSeparator" w:id="0">
    <w:p w14:paraId="0EDCB398" w14:textId="77777777" w:rsidR="003F6FD3" w:rsidRDefault="003F6FD3"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4"/>
  </w:num>
  <w:num w:numId="2" w16cid:durableId="49572071">
    <w:abstractNumId w:val="19"/>
  </w:num>
  <w:num w:numId="3" w16cid:durableId="1515224689">
    <w:abstractNumId w:val="13"/>
  </w:num>
  <w:num w:numId="4" w16cid:durableId="1200628829">
    <w:abstractNumId w:val="16"/>
  </w:num>
  <w:num w:numId="5" w16cid:durableId="798842025">
    <w:abstractNumId w:val="16"/>
  </w:num>
  <w:num w:numId="6" w16cid:durableId="2016422118">
    <w:abstractNumId w:val="16"/>
  </w:num>
  <w:num w:numId="7" w16cid:durableId="227956553">
    <w:abstractNumId w:val="16"/>
  </w:num>
  <w:num w:numId="8" w16cid:durableId="164829061">
    <w:abstractNumId w:val="18"/>
  </w:num>
  <w:num w:numId="9" w16cid:durableId="1860271627">
    <w:abstractNumId w:val="20"/>
  </w:num>
  <w:num w:numId="10" w16cid:durableId="1688098601">
    <w:abstractNumId w:val="15"/>
  </w:num>
  <w:num w:numId="11" w16cid:durableId="466628586">
    <w:abstractNumId w:val="12"/>
  </w:num>
  <w:num w:numId="12" w16cid:durableId="1077750273">
    <w:abstractNumId w:val="11"/>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2A1B82"/>
    <w:rsid w:val="00354FCF"/>
    <w:rsid w:val="003A19E2"/>
    <w:rsid w:val="003B2B40"/>
    <w:rsid w:val="003B4E04"/>
    <w:rsid w:val="003F5A08"/>
    <w:rsid w:val="003F6FD3"/>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74A94"/>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D19C0"/>
    <w:rsid w:val="009F1D79"/>
    <w:rsid w:val="009F67D9"/>
    <w:rsid w:val="00A059B3"/>
    <w:rsid w:val="00A27362"/>
    <w:rsid w:val="00AE3409"/>
    <w:rsid w:val="00B11A60"/>
    <w:rsid w:val="00B22613"/>
    <w:rsid w:val="00B44A76"/>
    <w:rsid w:val="00B768D1"/>
    <w:rsid w:val="00BA1025"/>
    <w:rsid w:val="00BB5678"/>
    <w:rsid w:val="00BC3420"/>
    <w:rsid w:val="00BD670B"/>
    <w:rsid w:val="00BE7D3C"/>
    <w:rsid w:val="00BF5FF6"/>
    <w:rsid w:val="00C0207F"/>
    <w:rsid w:val="00C16117"/>
    <w:rsid w:val="00C3075A"/>
    <w:rsid w:val="00C919A4"/>
    <w:rsid w:val="00CA4392"/>
    <w:rsid w:val="00CC393F"/>
    <w:rsid w:val="00D2176E"/>
    <w:rsid w:val="00D429E6"/>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rsid w:val="00D429E6"/>
    <w:rPr>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sv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130</TotalTime>
  <Pages>3</Pages>
  <Words>2113</Words>
  <Characters>10803</Characters>
  <Application>Microsoft Office Word</Application>
  <DocSecurity>0</DocSecurity>
  <Lines>291</Lines>
  <Paragraphs>90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12826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力言 赵</cp:lastModifiedBy>
  <cp:revision>4</cp:revision>
  <dcterms:created xsi:type="dcterms:W3CDTF">2020-07-20T08:51:00Z</dcterms:created>
  <dcterms:modified xsi:type="dcterms:W3CDTF">2026-10-24T04:57:00Z</dcterms:modified>
</cp:coreProperties>
</file>