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71EBF7A4" w14:textId="7B283CC8" w:rsidR="009303D9" w:rsidRPr="00774A94" w:rsidRDefault="00774A94" w:rsidP="008B6524">
      <w:pPr>
        <w:pStyle w:val="Author"/>
        <w:spacing w:before="5pt" w:beforeAutospacing="1" w:after="5pt" w:afterAutospacing="1"/>
        <w:rPr>
          <w:sz w:val="44"/>
          <w:szCs w:val="44"/>
        </w:rPr>
      </w:pPr>
      <w:r w:rsidRPr="00774A94">
        <w:rPr>
          <w:rFonts w:eastAsia="MS Mincho"/>
          <w:kern w:val="48"/>
          <w:sz w:val="44"/>
          <w:szCs w:val="44"/>
        </w:rPr>
        <w:t>CHAMP: A Scalable Click-Based Asynchronous NoC with Parallel-Router Hierarchy and Native Multicast</w:t>
      </w:r>
    </w:p>
    <w:p w14:paraId="7B296D13" w14:textId="77777777" w:rsidR="00D7522C" w:rsidRPr="00CA4392" w:rsidRDefault="00D7522C" w:rsidP="00774A94">
      <w:pPr>
        <w:pStyle w:val="Author"/>
        <w:spacing w:before="5pt" w:beforeAutospacing="1" w:after="5pt" w:afterAutospacing="1" w:line="6pt" w:lineRule="auto"/>
        <w:jc w:val="both"/>
        <w:rPr>
          <w:sz w:val="16"/>
          <w:szCs w:val="16"/>
          <w:lang w:eastAsia="zh-CN"/>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43C85770" w14:textId="77777777" w:rsidR="009F1D79" w:rsidRDefault="009F1D79" w:rsidP="00774A94">
      <w:pPr>
        <w:jc w:val="both"/>
        <w:rPr>
          <w:lang w:eastAsia="zh-CN"/>
        </w:rPr>
        <w:sectPr w:rsidR="009F1D79" w:rsidSect="003B4E04">
          <w:type w:val="continuous"/>
          <w:pgSz w:w="595.30pt" w:h="841.90pt" w:code="9"/>
          <w:pgMar w:top="22.50pt" w:right="44.65pt" w:bottom="72pt" w:left="44.65pt" w:header="36pt" w:footer="36pt" w:gutter="0pt"/>
          <w:cols w:num="3" w:space="36pt"/>
          <w:docGrid w:linePitch="360"/>
        </w:sectPr>
      </w:pPr>
    </w:p>
    <w:p w14:paraId="77CF39B4"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63E59C4F" w14:textId="01C859F8" w:rsidR="004D72B5" w:rsidRDefault="009303D9" w:rsidP="00972203">
      <w:pPr>
        <w:pStyle w:val="Abstract"/>
        <w:rPr>
          <w:i/>
          <w:iCs/>
        </w:rPr>
      </w:pPr>
      <w:r>
        <w:rPr>
          <w:i/>
          <w:iCs/>
        </w:rPr>
        <w:t>Abstract</w:t>
      </w:r>
      <w:r>
        <w:t>—</w:t>
      </w:r>
    </w:p>
    <w:p w14:paraId="7AAA6E85" w14:textId="5906C444" w:rsidR="009303D9" w:rsidRPr="004D72B5" w:rsidRDefault="004D72B5" w:rsidP="00972203">
      <w:pPr>
        <w:pStyle w:val="Keywords"/>
      </w:pPr>
      <w:r w:rsidRPr="004D72B5">
        <w:t>Keywords—</w:t>
      </w:r>
    </w:p>
    <w:p w14:paraId="775ECCC3" w14:textId="7DFFF908" w:rsidR="009303D9" w:rsidRPr="00D632BE" w:rsidRDefault="009303D9" w:rsidP="006B6B66">
      <w:pPr>
        <w:pStyle w:val="1"/>
      </w:pPr>
      <w:r w:rsidRPr="00D632BE">
        <w:t xml:space="preserve">Introduction </w:t>
      </w:r>
    </w:p>
    <w:p w14:paraId="1FB8286E" w14:textId="1A9D6902" w:rsidR="00B811C8" w:rsidRDefault="00D429E6" w:rsidP="00DC24A3">
      <w:pPr>
        <w:pStyle w:val="a3"/>
        <w:rPr>
          <w:lang w:val="en-US"/>
        </w:rPr>
      </w:pPr>
      <w:r w:rsidRPr="00D429E6">
        <w:rPr>
          <w:lang w:val="en-US"/>
        </w:rPr>
        <w:t>Modern computing platforms are evolving toward increasingly large-scale and highly parallel architectures, including many-core processors, GPUs, wafer-scale accelerators, and neuromorphic systems. As illustrated in Fig. 1</w:t>
      </w:r>
      <w:r w:rsidR="00855EDE">
        <w:rPr>
          <w:rFonts w:hint="eastAsia"/>
          <w:lang w:val="en-US" w:eastAsia="zh-CN"/>
        </w:rPr>
        <w:t>a</w:t>
      </w:r>
      <w:r w:rsidRPr="00D429E6">
        <w:rPr>
          <w:lang w:val="en-US"/>
        </w:rPr>
        <w:t>, representative platforms have substantially expanded their computing resources and processing capabilities, alongside rising chip-to-chip bandwidth. These trends place growing demands on data movement and communication among processing elements, making the on-chip interconnect a critical factor in overall system performance. Consequently, networks-on-chip (</w:t>
      </w:r>
      <w:proofErr w:type="spellStart"/>
      <w:r w:rsidRPr="00D429E6">
        <w:rPr>
          <w:lang w:val="en-US"/>
        </w:rPr>
        <w:t>NoCs</w:t>
      </w:r>
      <w:proofErr w:type="spellEnd"/>
      <w:r w:rsidRPr="00D429E6">
        <w:rPr>
          <w:lang w:val="en-US"/>
        </w:rPr>
        <w:t>) must provide low-latency, high-throughput, and energy-efficient communication while remaining scalable to larger systems.</w:t>
      </w:r>
    </w:p>
    <w:p w14:paraId="4610997A" w14:textId="29D79FD5" w:rsidR="00DC24A3" w:rsidRPr="007B6269" w:rsidRDefault="00DC24A3" w:rsidP="007B6269">
      <w:pPr>
        <w:pStyle w:val="a3"/>
        <w:rPr>
          <w:rFonts w:hint="eastAsia"/>
          <w:lang w:eastAsia="zh-CN"/>
        </w:rPr>
      </w:pPr>
      <w:r w:rsidRPr="00DC24A3">
        <w:rPr>
          <w:lang w:val="en-US" w:eastAsia="zh-CN"/>
        </w:rPr>
        <w:t>To identify the fundamental bottlenecks of scalable on-chip communication, packet latency can be conceptually decomposed as</w:t>
      </w:r>
    </w:p>
    <w:p w14:paraId="37B7F0BF" w14:textId="096C36A8" w:rsidR="00DC24A3" w:rsidRPr="007B6269" w:rsidRDefault="007B6269" w:rsidP="00DC24A3">
      <w:pPr>
        <w:pStyle w:val="a3"/>
        <w:rPr>
          <w:lang w:eastAsia="zh-CN"/>
        </w:rPr>
      </w:pPr>
      <m:oMathPara>
        <m:oMath>
          <m:sSub>
            <m:sSubPr>
              <m:ctrlPr>
                <w:rPr>
                  <w:rFonts w:ascii="Cambria Math" w:hAnsi="Cambria Math"/>
                </w:rPr>
              </m:ctrlPr>
            </m:sSubPr>
            <m:e>
              <m:r>
                <w:rPr>
                  <w:rFonts w:ascii="Cambria Math" w:hAnsi="Cambria Math"/>
                </w:rPr>
                <m:t>T</m:t>
              </m:r>
            </m:e>
            <m:sub>
              <m:r>
                <m:rPr>
                  <m:sty m:val="p"/>
                </m:rPr>
                <w:rPr>
                  <w:rFonts w:ascii="Cambria Math" w:hAnsi="Cambria Math"/>
                </w:rPr>
                <m:t>comm</m:t>
              </m:r>
            </m:sub>
          </m:sSub>
          <m:r>
            <w:rPr>
              <w:rFonts w:ascii="Cambria Math" w:hAnsi="Cambria Math"/>
            </w:rPr>
            <m:t>≈H</m:t>
          </m:r>
          <m:sSub>
            <m:sSubPr>
              <m:ctrlPr>
                <w:rPr>
                  <w:rFonts w:ascii="Cambria Math" w:hAnsi="Cambria Math"/>
                </w:rPr>
              </m:ctrlPr>
            </m:sSubPr>
            <m:e>
              <m:r>
                <w:rPr>
                  <w:rFonts w:ascii="Cambria Math" w:hAnsi="Cambria Math"/>
                </w:rPr>
                <m:t>T</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sub>
          </m:sSub>
        </m:oMath>
      </m:oMathPara>
    </w:p>
    <w:p w14:paraId="2F781F6D" w14:textId="77174E9B" w:rsidR="007B6269" w:rsidRPr="007B6269" w:rsidRDefault="007B6269" w:rsidP="007B6269">
      <w:pPr>
        <w:pStyle w:val="a3"/>
        <w:ind w:firstLine="0pt"/>
        <w:rPr>
          <w:lang w:val="en-US" w:eastAsia="zh-CN"/>
        </w:rPr>
      </w:pPr>
      <w:r w:rsidRPr="007B6269">
        <w:rPr>
          <w:lang w:val="en-US" w:eastAsia="zh-CN"/>
        </w:rPr>
        <w:t xml:space="preserve">where </w:t>
      </w:r>
      <m:oMath>
        <m:r>
          <w:rPr>
            <w:rFonts w:ascii="Cambria Math" w:hAnsi="Cambria Math"/>
          </w:rPr>
          <m:t>H</m:t>
        </m:r>
      </m:oMath>
      <w:r>
        <w:rPr>
          <w:rFonts w:hint="eastAsia"/>
          <w:lang w:val="en-US" w:eastAsia="zh-CN"/>
        </w:rPr>
        <w:t xml:space="preserve"> </w:t>
      </w:r>
      <w:r w:rsidRPr="007B6269">
        <w:rPr>
          <w:lang w:val="en-US" w:eastAsia="zh-CN"/>
        </w:rPr>
        <w:t>denotes the number of routing hops,</w:t>
      </w:r>
      <w:r>
        <w:rPr>
          <w:rFonts w:hint="eastAsia"/>
          <w:lang w:val="en-US" w:eastAsia="zh-CN"/>
        </w:rPr>
        <w:t xml:space="preserve"> </w:t>
      </w:r>
      <m:oMath>
        <m:sSub>
          <m:sSubPr>
            <m:ctrlPr>
              <w:rPr>
                <w:rFonts w:ascii="Cambria Math" w:hAnsi="Cambria Math"/>
              </w:rPr>
            </m:ctrlPr>
          </m:sSubPr>
          <m:e>
            <m:r>
              <w:rPr>
                <w:rFonts w:ascii="Cambria Math" w:hAnsi="Cambria Math"/>
              </w:rPr>
              <m:t>T</m:t>
            </m:r>
          </m:e>
          <m:sub>
            <m:r>
              <w:rPr>
                <w:rFonts w:ascii="Cambria Math" w:hAnsi="Cambria Math"/>
              </w:rPr>
              <m:t>r</m:t>
            </m:r>
          </m:sub>
        </m:sSub>
      </m:oMath>
      <w:r w:rsidRPr="007B6269">
        <w:rPr>
          <w:lang w:val="en-US" w:eastAsia="zh-CN"/>
        </w:rPr>
        <w:t xml:space="preserve"> the effective per-hop router-and-link delay, and</w:t>
      </w:r>
      <w:r>
        <w:rPr>
          <w:rFonts w:hint="eastAsia"/>
          <w:lang w:val="en-US" w:eastAsia="zh-CN"/>
        </w:rPr>
        <w:t xml:space="preserve"> </w:t>
      </w:r>
      <m:oMath>
        <m:sSub>
          <m:sSubPr>
            <m:ctrlPr>
              <w:rPr>
                <w:rFonts w:ascii="Cambria Math" w:hAnsi="Cambria Math"/>
              </w:rPr>
            </m:ctrlPr>
          </m:sSubPr>
          <m:e>
            <m:r>
              <w:rPr>
                <w:rFonts w:ascii="Cambria Math" w:hAnsi="Cambria Math"/>
              </w:rPr>
              <m:t>T</m:t>
            </m:r>
          </m:e>
          <m:sub>
            <m:r>
              <w:rPr>
                <w:rFonts w:ascii="Cambria Math" w:hAnsi="Cambria Math"/>
              </w:rPr>
              <m:t>c</m:t>
            </m:r>
          </m:sub>
        </m:sSub>
      </m:oMath>
      <w:r>
        <w:rPr>
          <w:rFonts w:hint="eastAsia"/>
          <w:lang w:val="en-US" w:eastAsia="zh-CN"/>
        </w:rPr>
        <w:t xml:space="preserve"> </w:t>
      </w:r>
      <w:r w:rsidRPr="007B6269">
        <w:rPr>
          <w:lang w:val="en-US" w:eastAsia="zh-CN"/>
        </w:rPr>
        <w:t>the delay caused by contention and queuing. This simplified model treats packet serialization as a common offset under a fixed packet and channel configuration. It highlights three coupled design factors: network topology determines routing paths and resource distribution; router microarchitecture affects both per-hop delay and contention through arbitration, buffering, and parallel transmission capacity; and traffic patterns further influence resource utilization and queuing. Therefore, optimizing these factors jointly is essential for scalable, low-latency communication.</w:t>
      </w:r>
    </w:p>
    <w:p w14:paraId="591184AA" w14:textId="1EA00A92" w:rsidR="00066EFC" w:rsidRPr="00066EFC" w:rsidRDefault="00066EFC" w:rsidP="007D29BB">
      <w:pPr>
        <w:pStyle w:val="a3"/>
        <w:rPr>
          <w:lang w:eastAsia="zh-CN"/>
        </w:rPr>
      </w:pPr>
      <w:r w:rsidRPr="00066EFC">
        <w:rPr>
          <w:lang w:eastAsia="zh-CN"/>
        </w:rPr>
        <w:t xml:space="preserve">Prior NoC studies have pursued scalability through network topology, router microarchitecture, and multicast routing. Regular meshes provide simple connectivity but incur increasing hop counts at scale, motivating hierarchical and link-augmented topologies [5], [20]–[23]. These approaches involve distinct tradeoffs: long-range links consume additional wiring resources, while conventional fat-tree scaling increases upper-level router width and arbitration complexity [1], [31]. The resulting per-hop delay can erode the latency savings of reduced hop counts, while increased link capacity does not necessarily translate into higher delivered throughput. At the microarchitectural level, two-phase bundled-data switches, replicated-switch designs, Click-based controllers, and continuous-time replication have improved asynchronous forwarding and multicast buffering [3], [24]–[26]. However, distributing bandwidth across dynamically selected physical lanes requires careful coordination of packet-level arbitration and two-phase handshake states. Meanwhile, existing multicast schemes, including destination bitmaps, subtree broadcasting, and hybrid path/tree routing, enable in-network replication [27]–[30], [34]. These approaches exhibit different tradeoffs among destination-encoding overhead, replication selectivity, and </w:t>
      </w:r>
      <w:r w:rsidRPr="00066EFC">
        <w:rPr>
          <w:lang w:eastAsia="zh-CN"/>
        </w:rPr>
        <w:t>network traffic [39]. In particular, efficient region-oriented multicast requires compact addressing and selective branching across network levels, while the absence of native replication can amplify traffic through repeated unicast. Together, these considerations motivate the co-design of hierarchical connectivity, parallel-router resources, and region-aware multicast routing.</w:t>
      </w:r>
    </w:p>
    <w:p w14:paraId="146FE213" w14:textId="15A235EF" w:rsidR="007D29BB" w:rsidRPr="007D29BB" w:rsidRDefault="007D29BB" w:rsidP="007D29BB">
      <w:pPr>
        <w:pStyle w:val="a3"/>
        <w:rPr>
          <w:lang w:val="en-US" w:eastAsia="zh-CN"/>
        </w:rPr>
      </w:pPr>
      <w:r w:rsidRPr="007D29BB">
        <w:rPr>
          <w:lang w:val="en-US" w:eastAsia="zh-CN"/>
        </w:rPr>
        <w:t xml:space="preserve">These observations reveal three key challenges in scaling asynchronous </w:t>
      </w:r>
      <w:proofErr w:type="spellStart"/>
      <w:r w:rsidRPr="007D29BB">
        <w:rPr>
          <w:lang w:val="en-US" w:eastAsia="zh-CN"/>
        </w:rPr>
        <w:t>NoCs</w:t>
      </w:r>
      <w:proofErr w:type="spellEnd"/>
      <w:r w:rsidRPr="007D29BB">
        <w:rPr>
          <w:lang w:val="en-US" w:eastAsia="zh-CN"/>
        </w:rPr>
        <w:t xml:space="preserve">, as illustrated in Fig. </w:t>
      </w:r>
      <w:r w:rsidR="00855EDE">
        <w:rPr>
          <w:rFonts w:hint="eastAsia"/>
          <w:lang w:val="en-US" w:eastAsia="zh-CN"/>
        </w:rPr>
        <w:t>1b-f</w:t>
      </w:r>
      <w:r w:rsidRPr="007D29BB">
        <w:rPr>
          <w:lang w:val="en-US" w:eastAsia="zh-CN"/>
        </w:rPr>
        <w:t>:</w:t>
      </w:r>
    </w:p>
    <w:p w14:paraId="2340C194" w14:textId="2C817187" w:rsidR="007D29BB" w:rsidRPr="007D29BB" w:rsidRDefault="007D29BB" w:rsidP="007D29BB">
      <w:pPr>
        <w:pStyle w:val="a3"/>
        <w:rPr>
          <w:lang w:val="en-US" w:eastAsia="zh-CN"/>
        </w:rPr>
      </w:pPr>
      <w:r w:rsidRPr="007D29BB">
        <w:rPr>
          <w:b/>
          <w:bCs/>
          <w:lang w:val="en-US" w:eastAsia="zh-CN"/>
        </w:rPr>
        <w:t>C1: Increasing traversal latency with network scale.</w:t>
      </w:r>
      <w:r w:rsidRPr="007D29BB">
        <w:rPr>
          <w:lang w:val="en-US" w:eastAsia="zh-CN"/>
        </w:rPr>
        <w:t xml:space="preserve"> In a regular 2-D mesh, the average hop count grows proportionally to the square root of the network size, following</w:t>
      </w:r>
      <w:r w:rsidR="00855EDE">
        <w:rPr>
          <w:rFonts w:hint="eastAsia"/>
          <w:lang w:val="en-US" w:eastAsia="zh-CN"/>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H</m:t>
                </m:r>
              </m:e>
            </m:acc>
          </m:e>
          <m:sub>
            <m:r>
              <m:rPr>
                <m:sty m:val="p"/>
              </m:rPr>
              <w:rPr>
                <w:rFonts w:ascii="Cambria Math" w:hAnsi="Cambria Math"/>
              </w:rPr>
              <m:t>Mesh</m:t>
            </m:r>
          </m:sub>
        </m:sSub>
        <m:d>
          <m:dPr>
            <m:ctrlPr>
              <w:rPr>
                <w:rFonts w:ascii="Cambria Math" w:hAnsi="Cambria Math"/>
              </w:rPr>
            </m:ctrlPr>
          </m:dPr>
          <m:e>
            <m:r>
              <w:rPr>
                <w:rFonts w:ascii="Cambria Math" w:hAnsi="Cambria Math"/>
              </w:rPr>
              <m:t>N</m:t>
            </m:r>
          </m:e>
        </m:d>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3</m:t>
            </m:r>
          </m:den>
        </m:f>
        <m:rad>
          <m:radPr>
            <m:degHide m:val="1"/>
            <m:ctrlPr>
              <w:rPr>
                <w:rFonts w:ascii="Cambria Math" w:hAnsi="Cambria Math"/>
              </w:rPr>
            </m:ctrlPr>
          </m:radPr>
          <m:deg/>
          <m:e>
            <m:r>
              <w:rPr>
                <w:rFonts w:ascii="Cambria Math" w:hAnsi="Cambria Math"/>
              </w:rPr>
              <m:t>N</m:t>
            </m:r>
          </m:e>
        </m:rad>
      </m:oMath>
      <w:r w:rsidRPr="007D29BB">
        <w:rPr>
          <w:lang w:val="en-US" w:eastAsia="zh-CN"/>
        </w:rPr>
        <w:t xml:space="preserve">, where </w:t>
      </w:r>
      <m:oMath>
        <m:r>
          <w:rPr>
            <w:rFonts w:ascii="Cambria Math" w:hAnsi="Cambria Math"/>
          </w:rPr>
          <m:t>N</m:t>
        </m:r>
      </m:oMath>
      <w:r w:rsidRPr="007D29BB">
        <w:rPr>
          <w:lang w:val="en-US" w:eastAsia="zh-CN"/>
        </w:rPr>
        <w:t xml:space="preserve"> denotes the number of network nodes. This increasing path length contributes to higher communication latency, even with efficient individual routers.</w:t>
      </w:r>
    </w:p>
    <w:p w14:paraId="064F19F8" w14:textId="658AC351" w:rsidR="007D29BB" w:rsidRPr="007D29BB" w:rsidRDefault="007D29BB" w:rsidP="007D29BB">
      <w:pPr>
        <w:pStyle w:val="a3"/>
        <w:rPr>
          <w:lang w:val="en-US" w:eastAsia="zh-CN"/>
        </w:rPr>
      </w:pPr>
      <w:r w:rsidRPr="007D29BB">
        <w:rPr>
          <w:b/>
          <w:bCs/>
          <w:lang w:val="en-US" w:eastAsia="zh-CN"/>
        </w:rPr>
        <w:t>C2: Inefficient bandwidth scaling in conventional fat-trees.</w:t>
      </w:r>
      <w:r w:rsidRPr="007D29BB">
        <w:rPr>
          <w:lang w:val="en-US" w:eastAsia="zh-CN"/>
        </w:rPr>
        <w:t xml:space="preserve"> Although tree hierarchies reduce hop counts, fattening upper-level links increases the number of physical ports and competing requests handled by each router, resulting in more complex arbitration and longer per-hop delays. As shown in Fig. 2(</w:t>
      </w:r>
      <w:r w:rsidR="00855EDE">
        <w:rPr>
          <w:rFonts w:hint="eastAsia"/>
          <w:lang w:val="en-US" w:eastAsia="zh-CN"/>
        </w:rPr>
        <w:t>c</w:t>
      </w:r>
      <w:r w:rsidRPr="007D29BB">
        <w:rPr>
          <w:lang w:val="en-US" w:eastAsia="zh-CN"/>
        </w:rPr>
        <w:t xml:space="preserve">), router latency nearly doubles from 0.66 to 1.29 ns/flit as the evaluated </w:t>
      </w:r>
      <w:r w:rsidR="000066BE">
        <w:rPr>
          <w:rFonts w:hint="eastAsia"/>
          <w:lang w:val="en-US" w:eastAsia="zh-CN"/>
        </w:rPr>
        <w:t>router</w:t>
      </w:r>
      <w:r w:rsidRPr="007D29BB">
        <w:rPr>
          <w:lang w:val="en-US" w:eastAsia="zh-CN"/>
        </w:rPr>
        <w:t xml:space="preserve"> widen</w:t>
      </w:r>
      <w:r w:rsidR="000066BE">
        <w:rPr>
          <w:rFonts w:hint="eastAsia"/>
          <w:lang w:val="en-US" w:eastAsia="zh-CN"/>
        </w:rPr>
        <w:t>s</w:t>
      </w:r>
      <w:r w:rsidRPr="007D29BB">
        <w:rPr>
          <w:lang w:val="en-US" w:eastAsia="zh-CN"/>
        </w:rPr>
        <w:t xml:space="preserve">, potentially offsetting the latency benefits of shorter paths. Moreover, the conventional fat-tree achieves only 145 </w:t>
      </w:r>
      <w:proofErr w:type="spellStart"/>
      <w:r w:rsidRPr="007D29BB">
        <w:rPr>
          <w:lang w:val="en-US" w:eastAsia="zh-CN"/>
        </w:rPr>
        <w:t>Mflit</w:t>
      </w:r>
      <w:proofErr w:type="spellEnd"/>
      <w:r w:rsidRPr="007D29BB">
        <w:rPr>
          <w:lang w:val="en-US" w:eastAsia="zh-CN"/>
        </w:rPr>
        <w:t xml:space="preserve">/s/port, compared with 215 </w:t>
      </w:r>
      <w:proofErr w:type="spellStart"/>
      <w:r w:rsidRPr="007D29BB">
        <w:rPr>
          <w:lang w:val="en-US" w:eastAsia="zh-CN"/>
        </w:rPr>
        <w:t>Mflit</w:t>
      </w:r>
      <w:proofErr w:type="spellEnd"/>
      <w:r w:rsidRPr="007D29BB">
        <w:rPr>
          <w:lang w:val="en-US" w:eastAsia="zh-CN"/>
        </w:rPr>
        <w:t>/s/port for the flat mesh, indicating that additional physical links do not necessarily translate into higher network throughput.</w:t>
      </w:r>
    </w:p>
    <w:p w14:paraId="23A3F259" w14:textId="681E8635" w:rsidR="007D29BB" w:rsidRPr="007D29BB" w:rsidRDefault="007D29BB" w:rsidP="007D29BB">
      <w:pPr>
        <w:pStyle w:val="a3"/>
        <w:rPr>
          <w:lang w:val="en-US" w:eastAsia="zh-CN"/>
        </w:rPr>
      </w:pPr>
      <w:r w:rsidRPr="007D29BB">
        <w:rPr>
          <w:b/>
          <w:bCs/>
          <w:lang w:val="en-US" w:eastAsia="zh-CN"/>
        </w:rPr>
        <w:t>C3: Traffic amplification with increasing multicast fanout.</w:t>
      </w:r>
      <w:r w:rsidRPr="007D29BB">
        <w:rPr>
          <w:lang w:val="en-US" w:eastAsia="zh-CN"/>
        </w:rPr>
        <w:t xml:space="preserve"> Without in-network replication, repeated unicast requires multiple packet injections for a single multicast message, amplifying redundant traffic, contention, and queuing delays as multicast fanout increases. As illustrated in Fig. 2</w:t>
      </w:r>
      <w:r w:rsidR="000066BE">
        <w:rPr>
          <w:rFonts w:hint="eastAsia"/>
          <w:lang w:val="en-US" w:eastAsia="zh-CN"/>
        </w:rPr>
        <w:t>d</w:t>
      </w:r>
      <w:r w:rsidRPr="007D29BB">
        <w:rPr>
          <w:lang w:val="en-US" w:eastAsia="zh-CN"/>
        </w:rPr>
        <w:t>, repeated-unicast latency rises sharply from 57.2 ns to 573.0 ns</w:t>
      </w:r>
      <w:r w:rsidR="000066BE">
        <w:rPr>
          <w:rFonts w:hint="eastAsia"/>
          <w:lang w:val="en-US" w:eastAsia="zh-CN"/>
        </w:rPr>
        <w:t xml:space="preserve"> when multicast increases</w:t>
      </w:r>
      <w:r w:rsidRPr="007D29BB">
        <w:rPr>
          <w:lang w:val="en-US" w:eastAsia="zh-CN"/>
        </w:rPr>
        <w:t xml:space="preserve"> in our 256-node evaluation. Efficient hierarchical multicast thus requires compact destination representation and selective in-network replication across network levels.</w:t>
      </w:r>
    </w:p>
    <w:p w14:paraId="6394FD19" w14:textId="77777777" w:rsidR="007D29BB" w:rsidRPr="007D29BB" w:rsidRDefault="007D29BB" w:rsidP="007D29BB">
      <w:pPr>
        <w:pStyle w:val="a3"/>
        <w:rPr>
          <w:lang w:val="en-US" w:eastAsia="zh-CN"/>
        </w:rPr>
      </w:pPr>
      <w:r w:rsidRPr="007D29BB">
        <w:rPr>
          <w:lang w:val="en-US" w:eastAsia="zh-CN"/>
        </w:rPr>
        <w:t xml:space="preserve">To address these challenges, we propose </w:t>
      </w:r>
      <w:r w:rsidRPr="007D29BB">
        <w:rPr>
          <w:b/>
          <w:bCs/>
          <w:lang w:val="en-US" w:eastAsia="zh-CN"/>
        </w:rPr>
        <w:t>CHAMP (Click-based Hierarchical Asynchronous Multicast with Parallel Routers)</w:t>
      </w:r>
      <w:r w:rsidRPr="007D29BB">
        <w:rPr>
          <w:lang w:val="en-US" w:eastAsia="zh-CN"/>
        </w:rPr>
        <w:t>, a scalable asynchronous NoC architecture featuring the following three key contributions:</w:t>
      </w:r>
    </w:p>
    <w:p w14:paraId="65BE8DD5" w14:textId="770ABEB0" w:rsidR="007D29BB" w:rsidRPr="007D29BB" w:rsidRDefault="007D29BB" w:rsidP="007D29BB">
      <w:pPr>
        <w:pStyle w:val="a3"/>
        <w:rPr>
          <w:lang w:val="en-US" w:eastAsia="zh-CN"/>
        </w:rPr>
      </w:pPr>
      <w:r w:rsidRPr="007D29BB">
        <w:rPr>
          <w:b/>
          <w:bCs/>
          <w:lang w:val="en-US" w:eastAsia="zh-CN"/>
        </w:rPr>
        <w:t>R1:</w:t>
      </w:r>
      <w:r w:rsidR="000066BE">
        <w:rPr>
          <w:rFonts w:hint="eastAsia"/>
          <w:b/>
          <w:bCs/>
          <w:lang w:val="en-US" w:eastAsia="zh-CN"/>
        </w:rPr>
        <w:t xml:space="preserve"> </w:t>
      </w:r>
      <w:r w:rsidRPr="007D29BB">
        <w:rPr>
          <w:b/>
          <w:bCs/>
          <w:lang w:val="en-US" w:eastAsia="zh-CN"/>
        </w:rPr>
        <w:t>Hierarchical Tree–Mesh Topology.</w:t>
      </w:r>
      <w:r w:rsidRPr="007D29BB">
        <w:rPr>
          <w:lang w:val="en-US" w:eastAsia="zh-CN"/>
        </w:rPr>
        <w:t xml:space="preserve"> We propose a hierarchical interconnect that combines local quadtrees with a global mesh, enabling local communication to complete within lower tree levels while supporting long-distance communication through the upper mesh. Our analytical hop-count model demonstrates a substantial reduction in average communication distance compared with flat meshes, mitigating the hop-dependent latency penalty as the network scales.</w:t>
      </w:r>
    </w:p>
    <w:p w14:paraId="05D4046A" w14:textId="77777777" w:rsidR="00F745BC" w:rsidRDefault="007D29BB" w:rsidP="007D29BB">
      <w:pPr>
        <w:pStyle w:val="a3"/>
        <w:rPr>
          <w:lang w:val="en-US" w:eastAsia="zh-CN"/>
        </w:rPr>
        <w:sectPr w:rsidR="00F745BC" w:rsidSect="003B4E04">
          <w:type w:val="continuous"/>
          <w:pgSz w:w="595.30pt" w:h="841.90pt" w:code="9"/>
          <w:pgMar w:top="54pt" w:right="45.35pt" w:bottom="72pt" w:left="45.35pt" w:header="36pt" w:footer="36pt" w:gutter="0pt"/>
          <w:cols w:num="2" w:space="18pt"/>
          <w:docGrid w:linePitch="360"/>
        </w:sectPr>
      </w:pPr>
      <w:r w:rsidRPr="007D29BB">
        <w:rPr>
          <w:b/>
          <w:bCs/>
          <w:lang w:val="en-US" w:eastAsia="zh-CN"/>
        </w:rPr>
        <w:t>R2:</w:t>
      </w:r>
      <w:r w:rsidR="000066BE">
        <w:rPr>
          <w:rFonts w:hint="eastAsia"/>
          <w:b/>
          <w:bCs/>
          <w:lang w:val="en-US" w:eastAsia="zh-CN"/>
        </w:rPr>
        <w:t xml:space="preserve"> </w:t>
      </w:r>
      <w:r w:rsidRPr="007D29BB">
        <w:rPr>
          <w:b/>
          <w:bCs/>
          <w:lang w:val="en-US" w:eastAsia="zh-CN"/>
        </w:rPr>
        <w:t>Parallel-Router Architecture.</w:t>
      </w:r>
      <w:r w:rsidRPr="007D29BB">
        <w:rPr>
          <w:lang w:val="en-US" w:eastAsia="zh-CN"/>
        </w:rPr>
        <w:t xml:space="preserve"> Rather than concentrating expanded link capacity in increasingly wide routers, CHAMP distributes physical paths across multiple lightweight asynchronous routers. Dynamic lane allocation, </w:t>
      </w:r>
    </w:p>
    <w:p w14:paraId="2A899213" w14:textId="77777777" w:rsidR="00F745BC" w:rsidRDefault="00F745BC" w:rsidP="00F745BC">
      <w:pPr>
        <w:pStyle w:val="a3"/>
        <w:ind w:firstLine="0pt"/>
        <w:rPr>
          <w:lang w:val="en-US" w:eastAsia="zh-CN"/>
        </w:rPr>
        <w:sectPr w:rsidR="00F745BC" w:rsidSect="00F745BC">
          <w:type w:val="continuous"/>
          <w:pgSz w:w="595.30pt" w:h="841.90pt" w:code="9"/>
          <w:pgMar w:top="54pt" w:right="45.35pt" w:bottom="72pt" w:left="45.35pt" w:header="36pt" w:footer="36pt" w:gutter="0pt"/>
          <w:cols w:space="18pt"/>
          <w:docGrid w:linePitch="360"/>
        </w:sectPr>
      </w:pPr>
      <w:r>
        <w:rPr>
          <w:noProof/>
          <w:lang w:val="en-US" w:eastAsia="zh-CN"/>
        </w:rPr>
        <w:lastRenderedPageBreak/>
        <w:drawing>
          <wp:anchor distT="0" distB="0" distL="114300" distR="114300" simplePos="0" relativeHeight="251658240" behindDoc="0" locked="0" layoutInCell="1" allowOverlap="1" wp14:anchorId="542ADE40" wp14:editId="1B9A55CD">
            <wp:simplePos x="0" y="0"/>
            <wp:positionH relativeFrom="column">
              <wp:posOffset>180</wp:posOffset>
            </wp:positionH>
            <wp:positionV relativeFrom="page">
              <wp:posOffset>687121</wp:posOffset>
            </wp:positionV>
            <wp:extent cx="6408420" cy="2921000"/>
            <wp:effectExtent l="0" t="0" r="0" b="0"/>
            <wp:wrapTopAndBottom/>
            <wp:docPr id="1411342489" name="图形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11342489" name="图形 1411342489"/>
                    <pic:cNvPicPr/>
                  </pic:nvPicPr>
                  <pic:blipFill>
                    <a:blip r:embed="rId9">
                      <a:extLst>
                        <a:ext uri="{96DAC541-7B7A-43D3-8B79-37D633B846F1}">
                          <asvg:svgBlip xmlns:asvg="http://schemas.microsoft.com/office/drawing/2016/SVG/main" r:embed="rId10"/>
                        </a:ext>
                      </a:extLst>
                    </a:blip>
                    <a:stretch>
                      <a:fillRect/>
                    </a:stretch>
                  </pic:blipFill>
                  <pic:spPr>
                    <a:xfrm>
                      <a:off x="0" y="0"/>
                      <a:ext cx="6408420" cy="2921000"/>
                    </a:xfrm>
                    <a:prstGeom prst="rect">
                      <a:avLst/>
                    </a:prstGeom>
                  </pic:spPr>
                </pic:pic>
              </a:graphicData>
            </a:graphic>
          </wp:anchor>
        </w:drawing>
      </w:r>
    </w:p>
    <w:p w14:paraId="5A5417D8" w14:textId="4A4BACA4" w:rsidR="007D29BB" w:rsidRPr="007D29BB" w:rsidRDefault="007D29BB" w:rsidP="00F745BC">
      <w:pPr>
        <w:pStyle w:val="a3"/>
        <w:ind w:firstLine="0pt"/>
        <w:rPr>
          <w:lang w:val="en-US" w:eastAsia="zh-CN"/>
        </w:rPr>
      </w:pPr>
      <w:r w:rsidRPr="007D29BB">
        <w:rPr>
          <w:lang w:val="en-US" w:eastAsia="zh-CN"/>
        </w:rPr>
        <w:t>packet-level path holding, and phase-safe two-phase handshake adaptation enable parallel communication while limiting local arbitration complexity.</w:t>
      </w:r>
    </w:p>
    <w:p w14:paraId="67238FC9" w14:textId="77777777" w:rsidR="007D29BB" w:rsidRPr="007D29BB" w:rsidRDefault="007D29BB" w:rsidP="007D29BB">
      <w:pPr>
        <w:pStyle w:val="a3"/>
        <w:rPr>
          <w:lang w:val="en-US" w:eastAsia="zh-CN"/>
        </w:rPr>
      </w:pPr>
      <w:r w:rsidRPr="007D29BB">
        <w:rPr>
          <w:b/>
          <w:bCs/>
          <w:lang w:val="en-US" w:eastAsia="zh-CN"/>
        </w:rPr>
        <w:t>R3: Native Region-Aware Multicast.</w:t>
      </w:r>
      <w:r w:rsidRPr="007D29BB">
        <w:rPr>
          <w:lang w:val="en-US" w:eastAsia="zh-CN"/>
        </w:rPr>
        <w:t xml:space="preserve"> CHAMP employs compact rectangular destination encoding and hierarchical routing decisions to selectively replicate multi-flit packets across tree and mesh levels. Native in-network replication reduces redundant source injections and enables efficient one-to-many communication.</w:t>
      </w:r>
    </w:p>
    <w:p w14:paraId="49B8EFDD" w14:textId="0874AF98" w:rsidR="007B6269" w:rsidRPr="007D29BB" w:rsidRDefault="007D29BB" w:rsidP="00743396">
      <w:pPr>
        <w:pStyle w:val="a3"/>
        <w:rPr>
          <w:rFonts w:hint="eastAsia"/>
          <w:lang w:val="en-US" w:eastAsia="zh-CN"/>
        </w:rPr>
      </w:pPr>
      <w:r w:rsidRPr="007D29BB">
        <w:rPr>
          <w:lang w:val="en-US" w:eastAsia="zh-CN"/>
        </w:rPr>
        <w:t xml:space="preserve">Across 64- and 256-node networks, CHAMP achieves 61.2% and 51.7% higher peak delivered throughput than flat meshes under uniform-random traffic, respectively, sustaining its performance advantage as network size grows. </w:t>
      </w:r>
      <w:r w:rsidR="000066BE" w:rsidRPr="000066BE">
        <w:rPr>
          <w:lang w:val="en-US" w:eastAsia="zh-CN"/>
        </w:rPr>
        <w:t>CHAMP also reduces power consumption by 21.8% compared with the flat mesh under the evaluated 64-node uniform-random workload</w:t>
      </w:r>
      <w:r w:rsidRPr="007D29BB">
        <w:rPr>
          <w:lang w:val="en-US" w:eastAsia="zh-CN"/>
        </w:rPr>
        <w:t>.</w:t>
      </w:r>
      <w:r w:rsidR="000066BE">
        <w:rPr>
          <w:rFonts w:hint="eastAsia"/>
          <w:lang w:val="en-US" w:eastAsia="zh-CN"/>
        </w:rPr>
        <w:t xml:space="preserve"> </w:t>
      </w:r>
      <w:r w:rsidRPr="007D29BB">
        <w:rPr>
          <w:lang w:val="en-US" w:eastAsia="zh-CN"/>
        </w:rPr>
        <w:t>Furthermore, across the evaluated multicast workloads, native multicast maintains nearly constant mean offer-to-tail latency, whereas repeated-unicast latency reaches 59.3 ns and 573.0 ns under All-Multicast, respectively.</w:t>
      </w:r>
    </w:p>
    <w:p w14:paraId="291BCAC7" w14:textId="77777777" w:rsidR="009303D9" w:rsidRPr="006B6B66" w:rsidRDefault="009303D9" w:rsidP="006B6B66">
      <w:pPr>
        <w:pStyle w:val="1"/>
      </w:pPr>
      <w:r w:rsidRPr="006B6B66">
        <w:t>Ease of Use</w:t>
      </w:r>
    </w:p>
    <w:p w14:paraId="2A3EFD93" w14:textId="77777777" w:rsidR="009303D9" w:rsidRDefault="009303D9" w:rsidP="00ED0149">
      <w:pPr>
        <w:pStyle w:val="2"/>
      </w:pPr>
      <w:r>
        <w:t xml:space="preserve">Selecting a </w:t>
      </w:r>
      <w:r w:rsidRPr="00F271DE">
        <w:t>Template</w:t>
      </w:r>
      <w:r>
        <w:t xml:space="preserve"> (Heading 2)</w:t>
      </w:r>
    </w:p>
    <w:p w14:paraId="4D92BC9B" w14:textId="77777777" w:rsidR="009303D9" w:rsidRPr="005B520E" w:rsidRDefault="009303D9" w:rsidP="00E7596C">
      <w:pPr>
        <w:pStyle w:val="a3"/>
      </w:pPr>
      <w:r w:rsidRPr="005B520E">
        <w:t xml:space="preserve">First, confirm that you have the correct template for your paper size. This template has been tailored for output on the </w:t>
      </w:r>
      <w:r w:rsidR="003B4E04">
        <w:rPr>
          <w:lang w:val="en-US"/>
        </w:rPr>
        <w:t>A4</w:t>
      </w:r>
      <w:r w:rsidRPr="005B520E">
        <w:t xml:space="preserve"> paper size. </w:t>
      </w:r>
    </w:p>
    <w:p w14:paraId="115A55BC" w14:textId="77777777" w:rsidR="009303D9" w:rsidRPr="005B520E" w:rsidRDefault="009303D9" w:rsidP="00ED0149">
      <w:pPr>
        <w:pStyle w:val="2"/>
      </w:pPr>
      <w:r w:rsidRPr="005B520E">
        <w:t>Maintaining the Integrity of the Specifications</w:t>
      </w:r>
    </w:p>
    <w:p w14:paraId="5197D574" w14:textId="77777777" w:rsidR="009303D9" w:rsidRPr="005B520E" w:rsidRDefault="009303D9" w:rsidP="00E7596C">
      <w:pPr>
        <w:pStyle w:val="a3"/>
      </w:pPr>
      <w:r w:rsidRPr="005B520E">
        <w:t>The template is used to format your paper and style the text. All margins, column widths, line spaces, and text fonts are prescribed; please do not alter them. You may note peculiarities. For example, the head margin in this template measures proportionately more than is customary. This measurement and others are deliberate, using specifications that anticipate your paper as one part of the entire proceedings, and not as an independent document. Please do not revise any of the current designations.</w:t>
      </w:r>
    </w:p>
    <w:p w14:paraId="48E499E8" w14:textId="77777777" w:rsidR="009303D9" w:rsidRDefault="009303D9" w:rsidP="006B6B66">
      <w:pPr>
        <w:pStyle w:val="1"/>
      </w:pPr>
      <w:r>
        <w:t xml:space="preserve">Prepare Your Paper </w:t>
      </w:r>
      <w:r w:rsidRPr="005B520E">
        <w:t>Before</w:t>
      </w:r>
      <w:r>
        <w:t xml:space="preserve"> Styling</w:t>
      </w:r>
    </w:p>
    <w:p w14:paraId="04F14029" w14:textId="77777777" w:rsidR="00D7522C" w:rsidRPr="00D7522C" w:rsidRDefault="009303D9" w:rsidP="00E7596C">
      <w:pPr>
        <w:pStyle w:val="a3"/>
        <w:rPr>
          <w:lang w:val="en-US"/>
        </w:rPr>
      </w:pPr>
      <w:r w:rsidRPr="00E7596C">
        <w:t>Before</w:t>
      </w:r>
      <w:r w:rsidRPr="005B520E">
        <w:t xml:space="preserve"> you begin to format your paper, first write and save the content as a separate text file. </w:t>
      </w:r>
      <w:r w:rsidR="00D7522C">
        <w:rPr>
          <w:lang w:val="en-US"/>
        </w:rPr>
        <w:t>Complete all content and organizational editing before formatting. Please note sections A-D below for more information on proofreading, spelling and grammar.</w:t>
      </w:r>
    </w:p>
    <w:p w14:paraId="3637276F" w14:textId="77777777" w:rsidR="009303D9" w:rsidRPr="005B520E" w:rsidRDefault="009303D9" w:rsidP="00E7596C">
      <w:pPr>
        <w:pStyle w:val="a3"/>
      </w:pPr>
      <w:r w:rsidRPr="005B520E">
        <w:t>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14:paraId="7CF08C30" w14:textId="77777777" w:rsidR="009303D9" w:rsidRDefault="009303D9" w:rsidP="00ED0149">
      <w:pPr>
        <w:pStyle w:val="2"/>
      </w:pPr>
      <w:r w:rsidRPr="00ED0149">
        <w:t>Abbreviations</w:t>
      </w:r>
      <w:r>
        <w:t xml:space="preserve"> and Acronyms</w:t>
      </w:r>
    </w:p>
    <w:p w14:paraId="333EF67D" w14:textId="77777777" w:rsidR="009303D9" w:rsidRPr="005B520E" w:rsidRDefault="009303D9" w:rsidP="00E7596C">
      <w:pPr>
        <w:pStyle w:val="a3"/>
      </w:pPr>
      <w:r w:rsidRPr="005B520E">
        <w:t xml:space="preserve">Define abbreviations and acronyms the first time they are used in the text, even after they have been defined in the abstract. Abbreviations such as IEEE, SI, MKS, CGS, </w:t>
      </w:r>
      <w:proofErr w:type="spellStart"/>
      <w:r w:rsidRPr="005B520E">
        <w:t>sc</w:t>
      </w:r>
      <w:proofErr w:type="spellEnd"/>
      <w:r w:rsidRPr="005B520E">
        <w:t>, dc, and rms do not have to be defined. Do not use abbreviations in the title or heads unless they are unavoidable.</w:t>
      </w:r>
    </w:p>
    <w:p w14:paraId="1182E65D" w14:textId="77777777" w:rsidR="009303D9" w:rsidRDefault="009303D9" w:rsidP="00ED0149">
      <w:pPr>
        <w:pStyle w:val="2"/>
      </w:pPr>
      <w:r>
        <w:t>Units</w:t>
      </w:r>
    </w:p>
    <w:p w14:paraId="65CC462A" w14:textId="77777777" w:rsidR="009303D9" w:rsidRPr="005B520E" w:rsidRDefault="009303D9" w:rsidP="00E7596C">
      <w:pPr>
        <w:pStyle w:val="bulletlist"/>
      </w:pPr>
      <w:r w:rsidRPr="005B520E">
        <w:t xml:space="preserve">Use </w:t>
      </w:r>
      <w:r w:rsidRPr="007F1F99">
        <w:t>either</w:t>
      </w:r>
      <w:r w:rsidRPr="005B520E">
        <w:t xml:space="preserve"> SI (MKS) or CGS as primary units. (SI units are encouraged.) English units may be used as secondary units (in parentheses). An exception would be the use of English units as identifiers in trade, such as “3.5-inch disk drive”.</w:t>
      </w:r>
    </w:p>
    <w:p w14:paraId="68ACA4ED" w14:textId="77777777" w:rsidR="009303D9" w:rsidRPr="005B520E" w:rsidRDefault="009303D9" w:rsidP="00E7596C">
      <w:pPr>
        <w:pStyle w:val="bulletlist"/>
      </w:pPr>
      <w:r w:rsidRPr="005B520E">
        <w:t xml:space="preserve">Avoid combining SI and CGS units, such as current in amperes and magnetic field in </w:t>
      </w:r>
      <w:proofErr w:type="spellStart"/>
      <w:r w:rsidRPr="005B520E">
        <w:t>oersteds</w:t>
      </w:r>
      <w:proofErr w:type="spellEnd"/>
      <w:r w:rsidRPr="005B520E">
        <w:t>. This often leads to confusion because equations do not balance dimensionally. If you must use mixed units, clearly state the units for each quantity that you use in an equation.</w:t>
      </w:r>
    </w:p>
    <w:p w14:paraId="424018F9" w14:textId="77777777" w:rsidR="009303D9" w:rsidRPr="005B520E" w:rsidRDefault="009303D9" w:rsidP="00E7596C">
      <w:pPr>
        <w:pStyle w:val="bulletlist"/>
      </w:pPr>
      <w:r w:rsidRPr="005B520E">
        <w:t xml:space="preserve">Do not mix complete spellings and abbreviations of units: “Wb/m2” or “webers per square meter”, not “webers/m2”.  Spell out units when they appear in text: “. . . a few </w:t>
      </w:r>
      <w:proofErr w:type="spellStart"/>
      <w:r w:rsidRPr="005B520E">
        <w:t>henries</w:t>
      </w:r>
      <w:proofErr w:type="spellEnd"/>
      <w:r w:rsidRPr="005B520E">
        <w:t>”, not “. . . a few H”.</w:t>
      </w:r>
    </w:p>
    <w:p w14:paraId="300AF27B" w14:textId="77777777" w:rsidR="003B4E04" w:rsidRDefault="003B4E04" w:rsidP="003B4E04">
      <w:pPr>
        <w:pStyle w:val="sponsors"/>
        <w:framePr w:wrap="auto" w:vAnchor="page" w:hAnchor="page" w:x="45.90pt" w:y="756.05pt"/>
        <w:ind w:firstLine="14.45pt"/>
      </w:pPr>
      <w:r>
        <w:t>Identif</w:t>
      </w:r>
      <w:r w:rsidRPr="007C0308">
        <w:t xml:space="preserve">y applicable </w:t>
      </w:r>
      <w:r>
        <w:t>funding agency</w:t>
      </w:r>
      <w:r w:rsidRPr="007C0308">
        <w:t xml:space="preserve"> here. </w:t>
      </w:r>
      <w:r>
        <w:rPr>
          <w:iCs/>
        </w:rPr>
        <w:t>If none, delete this text box</w:t>
      </w:r>
      <w:r w:rsidRPr="007C0308">
        <w:rPr>
          <w:iCs/>
        </w:rPr>
        <w:t>.</w:t>
      </w:r>
    </w:p>
    <w:p w14:paraId="2F053359" w14:textId="77777777" w:rsidR="009303D9" w:rsidRPr="005B520E" w:rsidRDefault="009303D9" w:rsidP="00E7596C">
      <w:pPr>
        <w:pStyle w:val="bulletlist"/>
      </w:pPr>
      <w:r w:rsidRPr="005B520E">
        <w:t xml:space="preserve">Use a zero before decimal points: “0.25”, not “.25”. Use “cm3”, not “cc”. </w:t>
      </w:r>
      <w:r w:rsidRPr="007C0308">
        <w:t>(</w:t>
      </w:r>
      <w:r w:rsidRPr="005B0344">
        <w:rPr>
          <w:i/>
          <w:iCs/>
        </w:rPr>
        <w:t>bullet list</w:t>
      </w:r>
      <w:r w:rsidRPr="007C0308">
        <w:t>)</w:t>
      </w:r>
    </w:p>
    <w:p w14:paraId="758FAEED" w14:textId="77777777" w:rsidR="009303D9" w:rsidRPr="005B520E" w:rsidRDefault="009303D9" w:rsidP="00ED0149">
      <w:pPr>
        <w:pStyle w:val="2"/>
      </w:pPr>
      <w:r w:rsidRPr="005B520E">
        <w:t>Equations</w:t>
      </w:r>
    </w:p>
    <w:p w14:paraId="2436B2E2" w14:textId="77777777" w:rsidR="009303D9" w:rsidRPr="005B520E" w:rsidRDefault="009303D9" w:rsidP="00E7596C">
      <w:pPr>
        <w:pStyle w:val="a3"/>
      </w:pPr>
      <w:r w:rsidRPr="005B520E">
        <w:t>The equations are an exception to the prescribed specifications of this template. You will need to determine whether or not your equation should be typed using either the Times New Roman or the Symbol font (please no other font). To create multileveled equations, it may be necessary to treat the equation as a graphic and insert it into the text after your paper is styled.</w:t>
      </w:r>
    </w:p>
    <w:p w14:paraId="61795A72" w14:textId="77777777" w:rsidR="009303D9" w:rsidRPr="00D7522C" w:rsidRDefault="009303D9" w:rsidP="00E7596C">
      <w:pPr>
        <w:pStyle w:val="a3"/>
        <w:rPr>
          <w:lang w:val="en-US"/>
        </w:rPr>
      </w:pPr>
      <w:r w:rsidRPr="005B520E">
        <w:lastRenderedPageBreak/>
        <w:t>Number equations consecutively. Equation numbers, within parentheses, are to position flush right, as in (1), using a right tab stop. To make your equations more compact, you 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r w:rsidR="00D7522C">
        <w:rPr>
          <w:lang w:val="en-US"/>
        </w:rPr>
        <w:t>:</w:t>
      </w:r>
    </w:p>
    <w:p w14:paraId="078FB929" w14:textId="77777777" w:rsidR="009303D9" w:rsidRPr="005B520E" w:rsidRDefault="009303D9" w:rsidP="003A19E2">
      <w:pPr>
        <w:pStyle w:val="equation"/>
        <w:rPr>
          <w:rFonts w:hint="eastAsia"/>
        </w:rPr>
      </w:pPr>
      <w:r w:rsidRPr="005B520E">
        <w:tab/>
      </w:r>
      <w:r w:rsidR="008A2C7D" w:rsidRPr="00127EDD">
        <w:rPr>
          <w:rFonts w:ascii="Times New Roman" w:hAnsi="Times New Roman" w:cs="Times New Roman"/>
          <w:i/>
        </w:rPr>
        <w:t>a</w:t>
      </w:r>
      <w:r w:rsidR="008A2C7D" w:rsidRPr="00CB66E6">
        <w:t></w:t>
      </w:r>
      <w:r w:rsidR="008A2C7D" w:rsidRPr="00CB66E6">
        <w:t></w:t>
      </w:r>
      <w:r w:rsidR="008A2C7D" w:rsidRPr="00CB66E6">
        <w:t></w:t>
      </w:r>
      <w:r w:rsidR="008A2C7D" w:rsidRPr="00127EDD">
        <w:rPr>
          <w:rFonts w:ascii="Times New Roman" w:hAnsi="Times New Roman" w:cs="Times New Roman"/>
          <w:i/>
        </w:rPr>
        <w:t>b</w:t>
      </w:r>
      <w:r w:rsidR="008A2C7D" w:rsidRPr="00CB66E6">
        <w:t></w:t>
      </w:r>
      <w:r w:rsidR="008A2C7D" w:rsidRPr="00CB66E6">
        <w:t></w:t>
      </w:r>
      <w:r w:rsidR="008A2C7D" w:rsidRPr="00CB66E6">
        <w:t></w:t>
      </w:r>
      <w:r w:rsidR="008A2C7D" w:rsidRPr="00CB66E6">
        <w:t></w:t>
      </w:r>
      <w:r w:rsidR="008A2C7D">
        <w:t></w:t>
      </w:r>
      <w:r w:rsidR="008A2C7D">
        <w:tab/>
      </w:r>
      <w:r w:rsidR="008A2C7D" w:rsidRPr="00CB66E6">
        <w:t></w:t>
      </w:r>
      <w:r w:rsidR="008A2C7D" w:rsidRPr="00CB66E6">
        <w:t></w:t>
      </w:r>
      <w:r w:rsidR="008A2C7D" w:rsidRPr="00CB66E6">
        <w:t></w:t>
      </w:r>
    </w:p>
    <w:p w14:paraId="2FBF0308" w14:textId="77777777" w:rsidR="009303D9" w:rsidRDefault="009303D9" w:rsidP="00E7596C">
      <w:pPr>
        <w:pStyle w:val="a3"/>
      </w:pPr>
      <w:r>
        <w:t>Note that the equation is centered using a center tab stop. Be sure that the symbols in your equation have been defined before or immediately following the equation. Use “(1)”, not “Eq. (1)” or “equation (1)”, except at the beginning of a sentence: “Equation (1) is . . .”</w:t>
      </w:r>
    </w:p>
    <w:p w14:paraId="4DE41908" w14:textId="77777777" w:rsidR="009303D9" w:rsidRDefault="009303D9" w:rsidP="00ED0149">
      <w:pPr>
        <w:pStyle w:val="2"/>
      </w:pPr>
      <w:r>
        <w:t>Some Common Mistakes</w:t>
      </w:r>
    </w:p>
    <w:p w14:paraId="42A11A8D" w14:textId="77777777" w:rsidR="009303D9" w:rsidRPr="005B520E" w:rsidRDefault="009303D9" w:rsidP="00E7596C">
      <w:pPr>
        <w:pStyle w:val="bulletlist"/>
      </w:pPr>
      <w:r w:rsidRPr="005B520E">
        <w:t>The word “data” is plural, not singular.</w:t>
      </w:r>
    </w:p>
    <w:p w14:paraId="39847A79" w14:textId="77777777" w:rsidR="009303D9" w:rsidRPr="005B520E" w:rsidRDefault="009303D9" w:rsidP="00E7596C">
      <w:pPr>
        <w:pStyle w:val="bulletlist"/>
      </w:pPr>
      <w:r w:rsidRPr="005B520E">
        <w:t xml:space="preserve">The subscript for the permeability of vacuum </w:t>
      </w:r>
      <w:r>
        <w:rPr>
          <w:rFonts w:ascii="Symbol" w:hAnsi="Symbol" w:cs="Symbol"/>
          <w:i/>
          <w:iCs/>
          <w:snapToGrid w:val="0"/>
        </w:rPr>
        <w:t></w:t>
      </w:r>
      <w:r>
        <w:rPr>
          <w:vertAlign w:val="subscript"/>
        </w:rPr>
        <w:t>0</w:t>
      </w:r>
      <w:r w:rsidRPr="005B520E">
        <w:t>, and other common scientific constants, is zero with subscript formatting, not a lowercase letter “o”.</w:t>
      </w:r>
    </w:p>
    <w:p w14:paraId="2A5B5956" w14:textId="77777777" w:rsidR="009303D9" w:rsidRPr="005B520E" w:rsidRDefault="009303D9" w:rsidP="00E7596C">
      <w:pPr>
        <w:pStyle w:val="bulletlist"/>
      </w:pPr>
      <w:r w:rsidRPr="005B520E">
        <w:t xml:space="preserve">In American </w:t>
      </w:r>
      <w:r w:rsidR="002850E3">
        <w:t>English, commas, semi</w:t>
      </w:r>
      <w:r w:rsidRPr="005B520E">
        <w:t>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0D7F08DE" w14:textId="77777777" w:rsidR="009303D9" w:rsidRPr="005B520E" w:rsidRDefault="009303D9" w:rsidP="00E7596C">
      <w:pPr>
        <w:pStyle w:val="bulletlist"/>
      </w:pPr>
      <w:r w:rsidRPr="005B520E">
        <w:t>A graph within a graph is an “inset”, not an “insert”. The word alternatively is preferred to the word “alternately” (unless you really mean something that alternates).</w:t>
      </w:r>
    </w:p>
    <w:p w14:paraId="5D83F135" w14:textId="77777777" w:rsidR="009303D9" w:rsidRPr="005B520E" w:rsidRDefault="009303D9" w:rsidP="00E7596C">
      <w:pPr>
        <w:pStyle w:val="bulletlist"/>
      </w:pPr>
      <w:r w:rsidRPr="005B520E">
        <w:t>Do not use the word “essentially” to mean “approximately” or “effectively”.</w:t>
      </w:r>
    </w:p>
    <w:p w14:paraId="29C95FD0" w14:textId="77777777" w:rsidR="009303D9" w:rsidRPr="005B520E" w:rsidRDefault="009303D9" w:rsidP="00E7596C">
      <w:pPr>
        <w:pStyle w:val="bulletlist"/>
      </w:pPr>
      <w:r w:rsidRPr="005B520E">
        <w:t>In your paper title, if the words “that uses” can accurately replace the word “using”, capitalize the “u”; if not, keep using lower-cased.</w:t>
      </w:r>
    </w:p>
    <w:p w14:paraId="2D6D7512" w14:textId="77777777" w:rsidR="009303D9" w:rsidRPr="005B520E" w:rsidRDefault="009303D9" w:rsidP="00E7596C">
      <w:pPr>
        <w:pStyle w:val="bulletlist"/>
      </w:pPr>
      <w:r w:rsidRPr="005B520E">
        <w:t>Be aware of the different meanings of the homophones “affect” and “effect”, “complement” and “compliment”, “discreet” and “discrete”, “principal” and “principle”.</w:t>
      </w:r>
    </w:p>
    <w:p w14:paraId="5B310A74" w14:textId="77777777" w:rsidR="009303D9" w:rsidRPr="005B520E" w:rsidRDefault="009303D9" w:rsidP="00E7596C">
      <w:pPr>
        <w:pStyle w:val="bulletlist"/>
      </w:pPr>
      <w:r w:rsidRPr="005B520E">
        <w:t>Do not confuse “imply” and “infer”.</w:t>
      </w:r>
    </w:p>
    <w:p w14:paraId="036AF8F5" w14:textId="77777777" w:rsidR="009303D9" w:rsidRPr="005B520E" w:rsidRDefault="009303D9" w:rsidP="00E7596C">
      <w:pPr>
        <w:pStyle w:val="bulletlist"/>
      </w:pPr>
      <w:r w:rsidRPr="005B520E">
        <w:t>The prefix “non” is not a word; it should be joined to the word it modifies, usually without a hyphen.</w:t>
      </w:r>
    </w:p>
    <w:p w14:paraId="39DD894C" w14:textId="77777777" w:rsidR="009303D9" w:rsidRPr="005B520E" w:rsidRDefault="009303D9" w:rsidP="00E7596C">
      <w:pPr>
        <w:pStyle w:val="bulletlist"/>
      </w:pPr>
      <w:r w:rsidRPr="005B520E">
        <w:t>There is no period after the “et” in the Latin abbreviation “et al.”.</w:t>
      </w:r>
    </w:p>
    <w:p w14:paraId="02E90E97" w14:textId="77777777" w:rsidR="009303D9" w:rsidRPr="005B520E" w:rsidRDefault="009303D9" w:rsidP="00E7596C">
      <w:pPr>
        <w:pStyle w:val="bulletlist"/>
      </w:pPr>
      <w:r w:rsidRPr="005B520E">
        <w:t>The abbreviation “i.e.” means “that is”, and the abbreviation “e.g.” means “for example”.</w:t>
      </w:r>
    </w:p>
    <w:p w14:paraId="41E17280" w14:textId="77777777" w:rsidR="009303D9" w:rsidRPr="005B520E" w:rsidRDefault="009303D9" w:rsidP="00E7596C">
      <w:pPr>
        <w:pStyle w:val="a3"/>
      </w:pPr>
      <w:r w:rsidRPr="005B520E">
        <w:t>An excellent style manual for science writers is [7].</w:t>
      </w:r>
    </w:p>
    <w:p w14:paraId="00F26276" w14:textId="77777777" w:rsidR="009303D9" w:rsidRDefault="009303D9" w:rsidP="006B6B66">
      <w:pPr>
        <w:pStyle w:val="1"/>
      </w:pPr>
      <w:r>
        <w:t xml:space="preserve">Using the </w:t>
      </w:r>
      <w:r w:rsidRPr="005B520E">
        <w:t>Template</w:t>
      </w:r>
    </w:p>
    <w:p w14:paraId="6DB7F7B2" w14:textId="77777777" w:rsidR="009303D9" w:rsidRPr="005B520E" w:rsidRDefault="009303D9" w:rsidP="00E7596C">
      <w:pPr>
        <w:pStyle w:val="a3"/>
      </w:pPr>
      <w:r w:rsidRPr="005B520E">
        <w:t xml:space="preserve">After the text edit has been completed, the paper is ready for the template. Duplicate the template file by using the Save </w:t>
      </w:r>
      <w:r w:rsidRPr="005B520E">
        <w:t>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45A655A9" w14:textId="77777777" w:rsidR="009303D9" w:rsidRDefault="009303D9" w:rsidP="00ED0149">
      <w:pPr>
        <w:pStyle w:val="2"/>
      </w:pPr>
      <w:r w:rsidRPr="005B520E">
        <w:t>Authors</w:t>
      </w:r>
      <w:r>
        <w:t xml:space="preserve"> and Affiliations</w:t>
      </w:r>
    </w:p>
    <w:p w14:paraId="19310C4A" w14:textId="77777777" w:rsidR="009303D9" w:rsidRPr="005B520E" w:rsidRDefault="009303D9" w:rsidP="00E7596C">
      <w:pPr>
        <w:pStyle w:val="a3"/>
      </w:pPr>
      <w:r w:rsidRPr="0056610F">
        <w:rPr>
          <w:b/>
        </w:rPr>
        <w:t xml:space="preserve">The template is </w:t>
      </w:r>
      <w:r w:rsidR="007D6232" w:rsidRPr="0056610F">
        <w:rPr>
          <w:b/>
        </w:rPr>
        <w:t>designed</w:t>
      </w:r>
      <w:r w:rsidR="00D76668" w:rsidRPr="0056610F">
        <w:rPr>
          <w:b/>
          <w:lang w:val="en-US"/>
        </w:rPr>
        <w:t xml:space="preserve"> for,</w:t>
      </w:r>
      <w:r w:rsidR="007D6232" w:rsidRPr="0056610F">
        <w:rPr>
          <w:b/>
        </w:rPr>
        <w:t xml:space="preserve"> but not limited to</w:t>
      </w:r>
      <w:r w:rsidR="00D76668" w:rsidRPr="0056610F">
        <w:rPr>
          <w:b/>
          <w:lang w:val="en-US"/>
        </w:rPr>
        <w:t>,</w:t>
      </w:r>
      <w:r w:rsidR="00354FCF" w:rsidRPr="0056610F">
        <w:rPr>
          <w:b/>
          <w:lang w:val="en-US"/>
        </w:rPr>
        <w:t xml:space="preserve"> </w:t>
      </w:r>
      <w:r w:rsidR="002850E3">
        <w:rPr>
          <w:b/>
          <w:lang w:val="en-US"/>
        </w:rPr>
        <w:t>six</w:t>
      </w:r>
      <w:r w:rsidR="00354FCF" w:rsidRPr="0056610F">
        <w:rPr>
          <w:b/>
          <w:lang w:val="en-US"/>
        </w:rPr>
        <w:t xml:space="preserve"> authors.</w:t>
      </w:r>
      <w:r w:rsidR="00354FCF">
        <w:rPr>
          <w:lang w:val="en-US"/>
        </w:rPr>
        <w:t xml:space="preserve"> </w:t>
      </w:r>
      <w:r w:rsidR="007D6232">
        <w:rPr>
          <w:lang w:val="en-US"/>
        </w:rPr>
        <w:t xml:space="preserve">A minimum of one author is required for all conference articles. </w:t>
      </w:r>
      <w:r w:rsidR="00D7522C">
        <w:t>Author names should be listed starting from left to right and then moving down to the next line. This is the author sequence that will be used in future citations and by indexing services.</w:t>
      </w:r>
      <w:r w:rsidR="00D7522C" w:rsidRPr="008D6DBE">
        <w:t xml:space="preserve"> </w:t>
      </w:r>
      <w:r w:rsidR="00D7522C">
        <w:t>Names should not be listed in columns nor group by affiliation.</w:t>
      </w:r>
      <w:r w:rsidR="002850E3">
        <w:rPr>
          <w:lang w:val="en-US"/>
        </w:rPr>
        <w:t xml:space="preserve"> </w:t>
      </w:r>
      <w:r w:rsidRPr="005B520E">
        <w:t>Please keep your affiliations as succinct as possible (for example, do not differentiate among departments of the same organization).</w:t>
      </w:r>
    </w:p>
    <w:p w14:paraId="09B128D6" w14:textId="77777777" w:rsidR="002850E3" w:rsidRDefault="002850E3" w:rsidP="00794804">
      <w:pPr>
        <w:pStyle w:val="3"/>
      </w:pPr>
      <w:r>
        <w:t xml:space="preserve">For papers with more than six authors: </w:t>
      </w:r>
      <w:r>
        <w:rPr>
          <w:i w:val="0"/>
        </w:rPr>
        <w:t>Add author names horizontally, moving to a third row if needed for more than 8 authors.</w:t>
      </w:r>
    </w:p>
    <w:p w14:paraId="6C7844D3" w14:textId="77777777" w:rsidR="009303D9" w:rsidRPr="005B520E" w:rsidRDefault="009303D9" w:rsidP="00794804">
      <w:pPr>
        <w:pStyle w:val="3"/>
      </w:pPr>
      <w:r w:rsidRPr="005B520E">
        <w:t xml:space="preserve">For </w:t>
      </w:r>
      <w:r w:rsidR="00354FCF">
        <w:t xml:space="preserve">papers with less than </w:t>
      </w:r>
      <w:r w:rsidR="002850E3">
        <w:t>six</w:t>
      </w:r>
      <w:r w:rsidR="00354FCF">
        <w:t xml:space="preserve"> authors</w:t>
      </w:r>
      <w:r w:rsidRPr="005B520E">
        <w:t xml:space="preserve">: </w:t>
      </w:r>
      <w:r w:rsidRPr="00FA4C32">
        <w:rPr>
          <w:i w:val="0"/>
        </w:rPr>
        <w:t>To change the default, adjust the template as follows.</w:t>
      </w:r>
    </w:p>
    <w:p w14:paraId="5CF53D80" w14:textId="77777777" w:rsidR="009303D9" w:rsidRPr="005B520E" w:rsidRDefault="009303D9" w:rsidP="00794804">
      <w:pPr>
        <w:pStyle w:val="4"/>
      </w:pPr>
      <w:r w:rsidRPr="00794804">
        <w:t>Selection</w:t>
      </w:r>
      <w:r w:rsidRPr="005B520E">
        <w:t xml:space="preserve">: </w:t>
      </w:r>
      <w:r w:rsidRPr="00FA4C32">
        <w:rPr>
          <w:i w:val="0"/>
        </w:rPr>
        <w:t>Highlight all author and affiliation lines.</w:t>
      </w:r>
    </w:p>
    <w:p w14:paraId="4745323D" w14:textId="77777777" w:rsidR="009303D9" w:rsidRPr="005B520E" w:rsidRDefault="009303D9" w:rsidP="00794804">
      <w:pPr>
        <w:pStyle w:val="4"/>
      </w:pPr>
      <w:r>
        <w:t>Change number of columns:</w:t>
      </w:r>
      <w:r w:rsidRPr="005B520E">
        <w:t xml:space="preserve"> </w:t>
      </w:r>
      <w:r w:rsidRPr="00FA4C32">
        <w:rPr>
          <w:i w:val="0"/>
        </w:rPr>
        <w:t xml:space="preserve">Select the Columns icon from the MS Word Standard toolbar and then select </w:t>
      </w:r>
      <w:r w:rsidR="00354FCF">
        <w:rPr>
          <w:i w:val="0"/>
        </w:rPr>
        <w:t>the correct number of columns</w:t>
      </w:r>
      <w:r w:rsidRPr="00FA4C32">
        <w:rPr>
          <w:i w:val="0"/>
        </w:rPr>
        <w:t xml:space="preserve"> from the selection palette.</w:t>
      </w:r>
    </w:p>
    <w:p w14:paraId="44A526BA" w14:textId="77777777" w:rsidR="007D6232" w:rsidRDefault="009303D9" w:rsidP="007D6232">
      <w:pPr>
        <w:pStyle w:val="4"/>
        <w:rPr>
          <w:i w:val="0"/>
        </w:rPr>
      </w:pPr>
      <w:r w:rsidRPr="005B520E">
        <w:t xml:space="preserve">Deletion: </w:t>
      </w:r>
      <w:r w:rsidRPr="00FA4C32">
        <w:rPr>
          <w:i w:val="0"/>
        </w:rPr>
        <w:t xml:space="preserve">Delete the author and affiliation lines for the </w:t>
      </w:r>
      <w:r w:rsidR="00354FCF">
        <w:rPr>
          <w:i w:val="0"/>
        </w:rPr>
        <w:t>extra authors.</w:t>
      </w:r>
    </w:p>
    <w:p w14:paraId="0ECB7BE0" w14:textId="77777777" w:rsidR="006F6D3D" w:rsidRDefault="006F6D3D" w:rsidP="006F6D3D">
      <w:pPr>
        <w:jc w:val="start"/>
        <w:rPr>
          <w:i/>
          <w:iCs/>
          <w:noProof/>
        </w:rPr>
      </w:pPr>
    </w:p>
    <w:p w14:paraId="2F5BECBC" w14:textId="77777777" w:rsidR="009303D9" w:rsidRDefault="009303D9" w:rsidP="00ED0149">
      <w:pPr>
        <w:pStyle w:val="2"/>
      </w:pPr>
      <w:r w:rsidRPr="005B520E">
        <w:t>Identify</w:t>
      </w:r>
      <w:r>
        <w:t xml:space="preserve"> the Headings</w:t>
      </w:r>
    </w:p>
    <w:p w14:paraId="7495B026" w14:textId="77777777" w:rsidR="009303D9" w:rsidRPr="005B520E" w:rsidRDefault="009303D9" w:rsidP="00E7596C">
      <w:pPr>
        <w:pStyle w:val="a3"/>
      </w:pPr>
      <w:r w:rsidRPr="005B520E">
        <w:t>Headings, or heads, are organizational devices that guide the reader through your paper. There are two types: component heads and text heads.</w:t>
      </w:r>
    </w:p>
    <w:p w14:paraId="2D93A96D" w14:textId="77777777" w:rsidR="009303D9" w:rsidRPr="005B520E" w:rsidRDefault="009303D9" w:rsidP="00E7596C">
      <w:pPr>
        <w:pStyle w:val="a3"/>
      </w:pPr>
      <w:r w:rsidRPr="005B520E">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14:paraId="14D78BBF" w14:textId="77777777" w:rsidR="009303D9" w:rsidRPr="005B520E" w:rsidRDefault="009303D9" w:rsidP="00E7596C">
      <w:pPr>
        <w:pStyle w:val="a3"/>
      </w:pPr>
      <w:r w:rsidRPr="005B520E">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14:paraId="2C18ED5D" w14:textId="77777777" w:rsidR="009303D9" w:rsidRDefault="009303D9" w:rsidP="00ED0149">
      <w:pPr>
        <w:pStyle w:val="2"/>
      </w:pPr>
      <w:r>
        <w:t>Figures and Tables</w:t>
      </w:r>
    </w:p>
    <w:p w14:paraId="5356CD7E" w14:textId="77777777" w:rsidR="009303D9" w:rsidRDefault="0004781E" w:rsidP="00FA4C32">
      <w:pPr>
        <w:pStyle w:val="4"/>
      </w:pPr>
      <w:r>
        <w:t xml:space="preserve"> </w:t>
      </w:r>
      <w:r w:rsidR="009303D9" w:rsidRPr="005B520E">
        <w:t xml:space="preserve">Positioning Figures and Tables: </w:t>
      </w:r>
      <w:r w:rsidR="009303D9" w:rsidRPr="00FA4C32">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44164A44" w14:textId="77777777" w:rsidR="009303D9" w:rsidRPr="005B520E" w:rsidRDefault="009303D9">
      <w:pPr>
        <w:pStyle w:val="tablehead"/>
      </w:pPr>
      <w:r>
        <w:t>Table Type Styles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720"/>
        <w:gridCol w:w="2340"/>
        <w:gridCol w:w="900"/>
        <w:gridCol w:w="900"/>
      </w:tblGrid>
      <w:tr w:rsidR="009303D9" w14:paraId="76447543" w14:textId="77777777">
        <w:trPr>
          <w:cantSplit/>
          <w:trHeight w:val="240"/>
          <w:tblHeader/>
          <w:jc w:val="center"/>
        </w:trPr>
        <w:tc>
          <w:tcPr>
            <w:tcW w:w="36pt" w:type="dxa"/>
            <w:vMerge w:val="restart"/>
            <w:vAlign w:val="center"/>
          </w:tcPr>
          <w:p w14:paraId="262BF755" w14:textId="77777777" w:rsidR="009303D9" w:rsidRDefault="009303D9">
            <w:pPr>
              <w:pStyle w:val="tablecolhead"/>
            </w:pPr>
            <w:r>
              <w:lastRenderedPageBreak/>
              <w:t>Table Head</w:t>
            </w:r>
          </w:p>
        </w:tc>
        <w:tc>
          <w:tcPr>
            <w:tcW w:w="207pt" w:type="dxa"/>
            <w:gridSpan w:val="3"/>
            <w:vAlign w:val="center"/>
          </w:tcPr>
          <w:p w14:paraId="7FBC4F8B" w14:textId="77777777" w:rsidR="009303D9" w:rsidRDefault="009303D9">
            <w:pPr>
              <w:pStyle w:val="tablecolhead"/>
            </w:pPr>
            <w:r>
              <w:t>Table Column Head</w:t>
            </w:r>
          </w:p>
        </w:tc>
      </w:tr>
      <w:tr w:rsidR="009303D9" w14:paraId="54C7E64E" w14:textId="77777777">
        <w:trPr>
          <w:cantSplit/>
          <w:trHeight w:val="240"/>
          <w:tblHeader/>
          <w:jc w:val="center"/>
        </w:trPr>
        <w:tc>
          <w:tcPr>
            <w:tcW w:w="36pt" w:type="dxa"/>
            <w:vMerge/>
          </w:tcPr>
          <w:p w14:paraId="3B538F97" w14:textId="77777777" w:rsidR="009303D9" w:rsidRDefault="009303D9">
            <w:pPr>
              <w:rPr>
                <w:sz w:val="16"/>
                <w:szCs w:val="16"/>
              </w:rPr>
            </w:pPr>
          </w:p>
        </w:tc>
        <w:tc>
          <w:tcPr>
            <w:tcW w:w="117pt" w:type="dxa"/>
            <w:vAlign w:val="center"/>
          </w:tcPr>
          <w:p w14:paraId="0FB85E43" w14:textId="77777777" w:rsidR="009303D9" w:rsidRDefault="009303D9">
            <w:pPr>
              <w:pStyle w:val="tablecolsubhead"/>
            </w:pPr>
            <w:r>
              <w:t>Table column subhead</w:t>
            </w:r>
          </w:p>
        </w:tc>
        <w:tc>
          <w:tcPr>
            <w:tcW w:w="45pt" w:type="dxa"/>
            <w:vAlign w:val="center"/>
          </w:tcPr>
          <w:p w14:paraId="2F04F1FA" w14:textId="77777777" w:rsidR="009303D9" w:rsidRDefault="009303D9">
            <w:pPr>
              <w:pStyle w:val="tablecolsubhead"/>
            </w:pPr>
            <w:r>
              <w:t>Subhead</w:t>
            </w:r>
          </w:p>
        </w:tc>
        <w:tc>
          <w:tcPr>
            <w:tcW w:w="45pt" w:type="dxa"/>
            <w:vAlign w:val="center"/>
          </w:tcPr>
          <w:p w14:paraId="6BC3E227" w14:textId="77777777" w:rsidR="009303D9" w:rsidRDefault="009303D9">
            <w:pPr>
              <w:pStyle w:val="tablecolsubhead"/>
            </w:pPr>
            <w:r>
              <w:t>Subhead</w:t>
            </w:r>
          </w:p>
        </w:tc>
      </w:tr>
      <w:tr w:rsidR="009303D9" w14:paraId="10F8B5C2" w14:textId="77777777">
        <w:trPr>
          <w:trHeight w:val="320"/>
          <w:jc w:val="center"/>
        </w:trPr>
        <w:tc>
          <w:tcPr>
            <w:tcW w:w="36pt" w:type="dxa"/>
            <w:vAlign w:val="center"/>
          </w:tcPr>
          <w:p w14:paraId="13DB2D28" w14:textId="77777777" w:rsidR="009303D9" w:rsidRDefault="009303D9">
            <w:pPr>
              <w:pStyle w:val="tablecopy"/>
              <w:rPr>
                <w:sz w:val="8"/>
                <w:szCs w:val="8"/>
              </w:rPr>
            </w:pPr>
            <w:r>
              <w:t>copy</w:t>
            </w:r>
          </w:p>
        </w:tc>
        <w:tc>
          <w:tcPr>
            <w:tcW w:w="117pt" w:type="dxa"/>
            <w:vAlign w:val="center"/>
          </w:tcPr>
          <w:p w14:paraId="5A6023CF" w14:textId="77777777" w:rsidR="009303D9" w:rsidRDefault="009303D9">
            <w:pPr>
              <w:pStyle w:val="tablecopy"/>
            </w:pPr>
            <w:r>
              <w:t>More table copy</w:t>
            </w:r>
            <w:r>
              <w:rPr>
                <w:vertAlign w:val="superscript"/>
              </w:rPr>
              <w:t>a</w:t>
            </w:r>
          </w:p>
        </w:tc>
        <w:tc>
          <w:tcPr>
            <w:tcW w:w="45pt" w:type="dxa"/>
            <w:vAlign w:val="center"/>
          </w:tcPr>
          <w:p w14:paraId="354A9298" w14:textId="77777777" w:rsidR="009303D9" w:rsidRDefault="009303D9">
            <w:pPr>
              <w:rPr>
                <w:sz w:val="16"/>
                <w:szCs w:val="16"/>
              </w:rPr>
            </w:pPr>
          </w:p>
        </w:tc>
        <w:tc>
          <w:tcPr>
            <w:tcW w:w="45pt" w:type="dxa"/>
            <w:vAlign w:val="center"/>
          </w:tcPr>
          <w:p w14:paraId="08E69542" w14:textId="77777777" w:rsidR="009303D9" w:rsidRDefault="009303D9">
            <w:pPr>
              <w:rPr>
                <w:sz w:val="16"/>
                <w:szCs w:val="16"/>
              </w:rPr>
            </w:pPr>
          </w:p>
        </w:tc>
      </w:tr>
    </w:tbl>
    <w:p w14:paraId="30619078" w14:textId="77777777" w:rsidR="009303D9" w:rsidRPr="005B520E" w:rsidRDefault="009303D9" w:rsidP="005E2800">
      <w:pPr>
        <w:pStyle w:val="tablefootnote"/>
      </w:pPr>
      <w:r>
        <w:t xml:space="preserve">Sample </w:t>
      </w:r>
      <w:r w:rsidRPr="005E2800">
        <w:t>of</w:t>
      </w:r>
      <w:r>
        <w:t xml:space="preserve"> a </w:t>
      </w:r>
      <w:r w:rsidRPr="005B520E">
        <w:t>Table</w:t>
      </w:r>
      <w:r>
        <w:t xml:space="preserve"> </w:t>
      </w:r>
      <w:r w:rsidRPr="003A19E2">
        <w:t>footnote</w:t>
      </w:r>
      <w:r>
        <w:t xml:space="preserve">. </w:t>
      </w:r>
      <w:r w:rsidRPr="005B520E">
        <w:t>(</w:t>
      </w:r>
      <w:r w:rsidRPr="005B0344">
        <w:rPr>
          <w:i/>
        </w:rPr>
        <w:t>Table footnote</w:t>
      </w:r>
      <w:r w:rsidRPr="005B520E">
        <w:t>)</w:t>
      </w:r>
    </w:p>
    <w:p w14:paraId="29F01FE4" w14:textId="77777777" w:rsidR="005B0344" w:rsidRDefault="005B0344" w:rsidP="003A19E2">
      <w:pPr>
        <w:pStyle w:val="figurecaption"/>
      </w:pPr>
      <w:r>
        <w:t xml:space="preserve">Example of a figure </w:t>
      </w:r>
      <w:r w:rsidRPr="005B520E">
        <w:t>caption</w:t>
      </w:r>
      <w:r>
        <w:t xml:space="preserve">. </w:t>
      </w:r>
      <w:r w:rsidRPr="00575BCA">
        <w:rPr>
          <w:iCs/>
        </w:rPr>
        <w:t>(</w:t>
      </w:r>
      <w:r w:rsidRPr="005B0344">
        <w:rPr>
          <w:i/>
          <w:iCs/>
        </w:rPr>
        <w:t>figure caption</w:t>
      </w:r>
      <w:r w:rsidRPr="00575BCA">
        <w:rPr>
          <w:iCs/>
        </w:rPr>
        <w:t>)</w:t>
      </w:r>
    </w:p>
    <w:p w14:paraId="7C042E90" w14:textId="77777777" w:rsidR="0080791D" w:rsidRPr="005B520E" w:rsidRDefault="009303D9" w:rsidP="00E7596C">
      <w:pPr>
        <w:pStyle w:val="a3"/>
      </w:pPr>
      <w:r w:rsidRPr="005B520E">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w:t>
      </w:r>
      <w:r w:rsidR="0080791D">
        <w:t xml:space="preserve"> </w:t>
      </w:r>
      <w:r w:rsidR="0080791D" w:rsidRPr="005B520E">
        <w:t>with a ratio of quantities and units. For example, write “Temperature (K)”, not “Temperature/K”.</w:t>
      </w:r>
    </w:p>
    <w:p w14:paraId="477B481E" w14:textId="77777777" w:rsidR="0080791D" w:rsidRDefault="0080791D" w:rsidP="0080791D">
      <w:pPr>
        <w:pStyle w:val="5"/>
      </w:pPr>
      <w:r w:rsidRPr="005B520E">
        <w:t>Acknowledgment</w:t>
      </w:r>
      <w:r>
        <w:t xml:space="preserve"> </w:t>
      </w:r>
      <w:r>
        <w:rPr>
          <w:i/>
          <w:iCs/>
        </w:rPr>
        <w:t>(</w:t>
      </w:r>
      <w:r w:rsidRPr="00651A08">
        <w:rPr>
          <w:i/>
          <w:iCs/>
          <w:smallCaps w:val="0"/>
        </w:rPr>
        <w:t>Heading 5</w:t>
      </w:r>
      <w:r>
        <w:rPr>
          <w:i/>
          <w:iCs/>
        </w:rPr>
        <w:t>)</w:t>
      </w:r>
    </w:p>
    <w:p w14:paraId="5F8A7FD6" w14:textId="77777777" w:rsidR="00575BCA" w:rsidRDefault="0080791D" w:rsidP="00836367">
      <w:pPr>
        <w:pStyle w:val="a3"/>
      </w:pPr>
      <w:r w:rsidRPr="005B520E">
        <w:t>The preferred spelling of the word “acknowledgment” in America is without an “e” after the “g</w:t>
      </w:r>
      <w:r w:rsidR="00AE3409">
        <w:t>”. Avoid the stilted expression “</w:t>
      </w:r>
      <w:proofErr w:type="spellStart"/>
      <w:r w:rsidR="00AE3409">
        <w:rPr>
          <w:lang w:val="en-US"/>
        </w:rPr>
        <w:t>o</w:t>
      </w:r>
      <w:r w:rsidRPr="005B520E">
        <w:t>ne</w:t>
      </w:r>
      <w:proofErr w:type="spellEnd"/>
      <w:r w:rsidRPr="005B520E">
        <w:t xml:space="preserve"> of us (R. B. G.) thanks </w:t>
      </w:r>
      <w:r w:rsidR="00AE3409">
        <w:t>...</w:t>
      </w:r>
      <w:r w:rsidR="00AE3409">
        <w:rPr>
          <w:lang w:val="en-US"/>
        </w:rPr>
        <w:t xml:space="preserve">”.  </w:t>
      </w:r>
      <w:r w:rsidRPr="005B520E">
        <w:t>Instead, try “R. B. G. thanks</w:t>
      </w:r>
      <w:r w:rsidR="00AE3409">
        <w:t>...</w:t>
      </w:r>
      <w:r w:rsidRPr="005B520E">
        <w:t>”.</w:t>
      </w:r>
      <w:r w:rsidR="00F03103">
        <w:rPr>
          <w:lang w:val="en-US"/>
        </w:rPr>
        <w:t xml:space="preserve"> </w:t>
      </w:r>
      <w:r w:rsidRPr="005B520E">
        <w:t>Put spons</w:t>
      </w:r>
      <w:r w:rsidR="00794804">
        <w:t>or acknowledgments in the unnum</w:t>
      </w:r>
      <w:r w:rsidRPr="005B520E">
        <w:t>bered footnote on the first page.</w:t>
      </w:r>
    </w:p>
    <w:p w14:paraId="5F5725E2" w14:textId="77777777" w:rsidR="009303D9" w:rsidRDefault="009303D9" w:rsidP="00A059B3">
      <w:pPr>
        <w:pStyle w:val="5"/>
      </w:pPr>
      <w:r w:rsidRPr="005B520E">
        <w:t>References</w:t>
      </w:r>
    </w:p>
    <w:p w14:paraId="1FCACD1A" w14:textId="5BA22B4B" w:rsidR="009303D9" w:rsidRPr="005B520E" w:rsidRDefault="009303D9" w:rsidP="00DC24A3">
      <w:pPr>
        <w:pStyle w:val="a3"/>
      </w:pPr>
      <w:r w:rsidRPr="005B520E">
        <w:t>The template will number citations consecutively within brackets [1]. The sentence punctuation follows the bracket [2]. Refer simply to the reference number, as in [3]—do not use “</w:t>
      </w:r>
    </w:p>
    <w:p w14:paraId="422B28D9" w14:textId="77777777" w:rsidR="009303D9" w:rsidRPr="005B520E" w:rsidRDefault="009303D9"/>
    <w:p w14:paraId="0CCAF4D6" w14:textId="77777777" w:rsidR="009303D9" w:rsidRDefault="009303D9" w:rsidP="0004781E">
      <w:pPr>
        <w:pStyle w:val="references"/>
        <w:ind w:start="17.70pt" w:hanging="17.70pt"/>
      </w:pPr>
      <w:r>
        <w:t xml:space="preserve">G. Eason, B. Noble, and I. N. Sneddon, “On certain integrals of Lipschitz-Hankel type involving products of Bessel functions,” Phil. Trans. Roy. Soc. London, vol. A247, pp. 529–551, April 1955. </w:t>
      </w:r>
      <w:r>
        <w:rPr>
          <w:i/>
          <w:iCs/>
        </w:rPr>
        <w:t>(references)</w:t>
      </w:r>
    </w:p>
    <w:p w14:paraId="611F6DB6" w14:textId="77777777" w:rsidR="009303D9" w:rsidRDefault="009303D9" w:rsidP="0004781E">
      <w:pPr>
        <w:pStyle w:val="references"/>
        <w:ind w:start="17.70pt" w:hanging="17.70pt"/>
      </w:pPr>
      <w:r>
        <w:t>J. Clerk Maxwell, A Treatise on Electricity and Magnetism, 3rd ed., vol. 2. Oxford: Clarendon, 1892, pp.68–73.</w:t>
      </w:r>
    </w:p>
    <w:p w14:paraId="0DC0D342" w14:textId="59DB3156" w:rsidR="009303D9" w:rsidRDefault="009303D9" w:rsidP="0004781E">
      <w:pPr>
        <w:pStyle w:val="references"/>
        <w:ind w:start="17.70pt" w:hanging="17.70pt"/>
      </w:pPr>
      <w:r>
        <w:t>I. S. Jacobs and C. P. Bean, “Fine particles, thin films and exchange anisotropy,” in Magnetism, vol. III, G. T. Rado and H. Suhl, Eds. New York: Academic, 1963, pp. 271–350.</w:t>
      </w:r>
    </w:p>
    <w:p w14:paraId="39755348" w14:textId="00FBF997" w:rsidR="009303D9" w:rsidRDefault="009303D9" w:rsidP="0004781E">
      <w:pPr>
        <w:pStyle w:val="references"/>
        <w:ind w:start="17.70pt" w:hanging="17.70pt"/>
      </w:pPr>
      <w:r>
        <w:t>K. Elissa, “Title of paper if known,” unpublished.</w:t>
      </w:r>
    </w:p>
    <w:p w14:paraId="6508D5DC" w14:textId="77777777" w:rsidR="009303D9" w:rsidRDefault="009303D9" w:rsidP="0004781E">
      <w:pPr>
        <w:pStyle w:val="references"/>
        <w:ind w:start="17.70pt" w:hanging="17.70pt"/>
      </w:pPr>
      <w:r>
        <w:t>R. Nicole, “Title of paper with only first word capitalized,” J. Name Stand. Abbrev., in press.</w:t>
      </w:r>
    </w:p>
    <w:p w14:paraId="1F01378F" w14:textId="77777777" w:rsidR="009303D9" w:rsidRDefault="009303D9" w:rsidP="0004781E">
      <w:pPr>
        <w:pStyle w:val="references"/>
        <w:ind w:start="17.70pt" w:hanging="17.70pt"/>
      </w:pPr>
      <w:r>
        <w:t>Y. Yorozu, M. Hirano, K. Oka, and Y. Tagawa, “Electron spectroscopy studies on magneto-optical media and plastic substrate interface,” IEEE Transl. J. Magn. Japan, vol. 2, pp. 740–741, August 1987 [Digests 9th Annual Conf. Magnetics Japan, p. 301, 1982].</w:t>
      </w:r>
    </w:p>
    <w:p w14:paraId="0CBD2C3D" w14:textId="77777777" w:rsidR="009303D9" w:rsidRDefault="009303D9" w:rsidP="0004781E">
      <w:pPr>
        <w:pStyle w:val="references"/>
        <w:ind w:start="17.70pt" w:hanging="17.70pt"/>
      </w:pPr>
      <w:r>
        <w:t>M. Young, The Technical Writer</w:t>
      </w:r>
      <w:r w:rsidR="00E7596C">
        <w:t>’</w:t>
      </w:r>
      <w:r>
        <w:t>s Handbook. Mill Valley, CA: University Science, 1989.</w:t>
      </w:r>
    </w:p>
    <w:p w14:paraId="5056D7FB" w14:textId="77777777" w:rsidR="009303D9" w:rsidRDefault="009303D9" w:rsidP="00836367">
      <w:pPr>
        <w:pStyle w:val="references"/>
        <w:numPr>
          <w:ilvl w:val="0"/>
          <w:numId w:val="0"/>
        </w:numPr>
        <w:ind w:start="18pt" w:hanging="18pt"/>
      </w:pPr>
    </w:p>
    <w:p w14:paraId="2EA89E63" w14:textId="77777777" w:rsidR="00836367" w:rsidRPr="00F96569" w:rsidRDefault="00836367" w:rsidP="008B6524">
      <w:pPr>
        <w:pStyle w:val="references"/>
        <w:numPr>
          <w:ilvl w:val="0"/>
          <w:numId w:val="0"/>
        </w:numPr>
        <w:spacing w:line="12pt" w:lineRule="auto"/>
        <w:ind w:start="18pt" w:hanging="18pt"/>
        <w:jc w:val="center"/>
        <w:rPr>
          <w:rFonts w:eastAsia="宋体"/>
          <w:b/>
          <w:noProof w:val="0"/>
          <w:color w:val="FF0000"/>
          <w:spacing w:val="-1"/>
          <w:sz w:val="20"/>
          <w:szCs w:val="20"/>
          <w:lang w:val="x-none" w:eastAsia="x-none"/>
        </w:rPr>
        <w:sectPr w:rsidR="00836367" w:rsidRPr="00F96569" w:rsidSect="00F745BC">
          <w:type w:val="continuous"/>
          <w:pgSz w:w="595.30pt" w:h="841.90pt" w:code="9"/>
          <w:pgMar w:top="54pt" w:right="45.35pt" w:bottom="72pt" w:left="45.35pt" w:header="36pt" w:footer="36pt" w:gutter="0pt"/>
          <w:cols w:num="2" w:space="18pt"/>
          <w:docGrid w:linePitch="360"/>
        </w:sectPr>
      </w:pPr>
      <w:r w:rsidRPr="00F96569">
        <w:rPr>
          <w:rFonts w:eastAsia="宋体"/>
          <w:b/>
          <w:noProof w:val="0"/>
          <w:color w:val="FF0000"/>
          <w:spacing w:val="-1"/>
          <w:sz w:val="20"/>
          <w:szCs w:val="20"/>
          <w:lang w:val="x-none" w:eastAsia="x-none"/>
        </w:rPr>
        <w:t xml:space="preserve">IEEE conference templates contain guidance text for composing and formatting conference papers. Please ensure that all template text is removed from your conference paper prior to submission to the conference. Failure to remove template text from your paper </w:t>
      </w:r>
      <w:r w:rsidR="00E165BC">
        <w:rPr>
          <w:rFonts w:eastAsia="宋体"/>
          <w:b/>
          <w:noProof w:val="0"/>
          <w:color w:val="FF0000"/>
          <w:spacing w:val="-1"/>
          <w:sz w:val="20"/>
          <w:szCs w:val="20"/>
          <w:lang w:eastAsia="x-none"/>
        </w:rPr>
        <w:t>may</w:t>
      </w:r>
      <w:r w:rsidRPr="00F96569">
        <w:rPr>
          <w:rFonts w:eastAsia="宋体"/>
          <w:b/>
          <w:noProof w:val="0"/>
          <w:color w:val="FF0000"/>
          <w:spacing w:val="-1"/>
          <w:sz w:val="20"/>
          <w:szCs w:val="20"/>
          <w:lang w:val="x-none" w:eastAsia="x-none"/>
        </w:rPr>
        <w:t xml:space="preserve"> result in your paper not being published.</w:t>
      </w:r>
    </w:p>
    <w:p w14:paraId="15D10C84" w14:textId="21FEF67C" w:rsidR="009303D9" w:rsidRDefault="009303D9" w:rsidP="005B520E">
      <w:pPr>
        <w:rPr>
          <w:rFonts w:hint="eastAsia"/>
          <w:lang w:eastAsia="zh-CN"/>
        </w:rPr>
      </w:pP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7BF9F81D" w14:textId="77777777" w:rsidR="00BA006D" w:rsidRDefault="00BA006D" w:rsidP="001A3B3D">
      <w:r>
        <w:separator/>
      </w:r>
    </w:p>
  </w:endnote>
  <w:endnote w:type="continuationSeparator" w:id="0">
    <w:p w14:paraId="6B5E1CF5" w14:textId="77777777" w:rsidR="00BA006D" w:rsidRDefault="00BA006D"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宋体">
    <w:altName w:val="SimSun"/>
    <w:panose1 w:val="02010600030101010101"/>
    <w:charset w:characterSet="GBK"/>
    <w:family w:val="auto"/>
    <w:pitch w:val="variable"/>
    <w:sig w:usb0="00000203" w:usb1="288F0000" w:usb2="00000016" w:usb3="00000000" w:csb0="00040001" w:csb1="00000000"/>
  </w:font>
  <w:font w:name="MS Mincho">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等线 Light">
    <w:panose1 w:val="02010600030101010101"/>
    <w:charset w:characterSet="GBK"/>
    <w:family w:val="auto"/>
    <w:pitch w:val="variable"/>
    <w:sig w:usb0="A00002BF" w:usb1="38CF7CFA" w:usb2="00000016" w:usb3="00000000" w:csb0="0004000F" w:csb1="00000000"/>
  </w:font>
  <w:font w:name="Calibri Light">
    <w:panose1 w:val="020F0302020204030204"/>
    <w:charset w:characterSet="iso-8859-1"/>
    <w:family w:val="swiss"/>
    <w:pitch w:val="variable"/>
    <w:sig w:usb0="E4002EFF" w:usb1="C200247B" w:usb2="00000009" w:usb3="00000000" w:csb0="000001FF" w:csb1="00000000"/>
  </w:font>
  <w:font w:name="等线">
    <w:altName w:val="DengXian"/>
    <w:panose1 w:val="02010600030101010101"/>
    <w:charset w:characterSet="GBK"/>
    <w:family w:val="auto"/>
    <w:pitch w:val="variable"/>
    <w:sig w:usb0="A00002BF" w:usb1="38CF7CFA" w:usb2="00000016" w:usb3="00000000" w:csb0="0004000F" w:csb1="00000000"/>
  </w:font>
  <w:font w:name="Calibri">
    <w:panose1 w:val="020F0502020204030204"/>
    <w:charset w:characterSet="iso-8859-1"/>
    <w:family w:val="swiss"/>
    <w:pitch w:val="variable"/>
    <w:sig w:usb0="E4002EFF" w:usb1="C2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24289F00" w14:textId="77777777" w:rsidR="001A3B3D" w:rsidRPr="006F6D3D" w:rsidRDefault="001A3B3D" w:rsidP="0056610F">
    <w:pPr>
      <w:pStyle w:val="a7"/>
      <w:jc w:val="start"/>
      <w:rPr>
        <w:sz w:val="16"/>
        <w:szCs w:val="16"/>
      </w:rPr>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7515846B" w14:textId="77777777" w:rsidR="00BA006D" w:rsidRDefault="00BA006D" w:rsidP="001A3B3D">
      <w:r>
        <w:separator/>
      </w:r>
    </w:p>
  </w:footnote>
  <w:footnote w:type="continuationSeparator" w:id="0">
    <w:p w14:paraId="0F678955" w14:textId="77777777" w:rsidR="00BA006D" w:rsidRDefault="00BA006D"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07EA52F8"/>
    <w:multiLevelType w:val="multilevel"/>
    <w:tmpl w:val="9C62CE48"/>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2"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3"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22721D50"/>
    <w:multiLevelType w:val="multilevel"/>
    <w:tmpl w:val="861662A4"/>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15"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6"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7"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8" w15:restartNumberingAfterBreak="0">
    <w:nsid w:val="4189603E"/>
    <w:multiLevelType w:val="multilevel"/>
    <w:tmpl w:val="0AB06E12"/>
    <w:lvl w:ilvl="0">
      <w:start w:val="1"/>
      <w:numFmt w:val="upperRoman"/>
      <w:pStyle w:val="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9"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0"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21"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2"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45820776">
    <w:abstractNumId w:val="16"/>
  </w:num>
  <w:num w:numId="2" w16cid:durableId="49572071">
    <w:abstractNumId w:val="21"/>
  </w:num>
  <w:num w:numId="3" w16cid:durableId="1515224689">
    <w:abstractNumId w:val="15"/>
  </w:num>
  <w:num w:numId="4" w16cid:durableId="1200628829">
    <w:abstractNumId w:val="18"/>
  </w:num>
  <w:num w:numId="5" w16cid:durableId="798842025">
    <w:abstractNumId w:val="18"/>
  </w:num>
  <w:num w:numId="6" w16cid:durableId="2016422118">
    <w:abstractNumId w:val="18"/>
  </w:num>
  <w:num w:numId="7" w16cid:durableId="227956553">
    <w:abstractNumId w:val="18"/>
  </w:num>
  <w:num w:numId="8" w16cid:durableId="164829061">
    <w:abstractNumId w:val="20"/>
  </w:num>
  <w:num w:numId="9" w16cid:durableId="1860271627">
    <w:abstractNumId w:val="22"/>
  </w:num>
  <w:num w:numId="10" w16cid:durableId="1688098601">
    <w:abstractNumId w:val="17"/>
  </w:num>
  <w:num w:numId="11" w16cid:durableId="466628586">
    <w:abstractNumId w:val="13"/>
  </w:num>
  <w:num w:numId="12" w16cid:durableId="1077750273">
    <w:abstractNumId w:val="12"/>
  </w:num>
  <w:num w:numId="13" w16cid:durableId="1040400736">
    <w:abstractNumId w:val="0"/>
  </w:num>
  <w:num w:numId="14" w16cid:durableId="2028016891">
    <w:abstractNumId w:val="10"/>
  </w:num>
  <w:num w:numId="15" w16cid:durableId="1455519226">
    <w:abstractNumId w:val="8"/>
  </w:num>
  <w:num w:numId="16" w16cid:durableId="1149983217">
    <w:abstractNumId w:val="7"/>
  </w:num>
  <w:num w:numId="17" w16cid:durableId="1411653924">
    <w:abstractNumId w:val="6"/>
  </w:num>
  <w:num w:numId="18" w16cid:durableId="693193555">
    <w:abstractNumId w:val="5"/>
  </w:num>
  <w:num w:numId="19" w16cid:durableId="1576931687">
    <w:abstractNumId w:val="9"/>
  </w:num>
  <w:num w:numId="20" w16cid:durableId="1798182330">
    <w:abstractNumId w:val="4"/>
  </w:num>
  <w:num w:numId="21" w16cid:durableId="2053991631">
    <w:abstractNumId w:val="3"/>
  </w:num>
  <w:num w:numId="22" w16cid:durableId="1854341983">
    <w:abstractNumId w:val="2"/>
  </w:num>
  <w:num w:numId="23" w16cid:durableId="1470366540">
    <w:abstractNumId w:val="1"/>
  </w:num>
  <w:num w:numId="24" w16cid:durableId="658459657">
    <w:abstractNumId w:val="19"/>
  </w:num>
  <w:num w:numId="25" w16cid:durableId="654184062">
    <w:abstractNumId w:val="11"/>
  </w:num>
  <w:num w:numId="26" w16cid:durableId="1225793015">
    <w:abstractNumId w:val="14"/>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SystemFonts/>
  <w:bordersDoNotSurroundHeader/>
  <w:bordersDoNotSurroundFooter/>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66BE"/>
    <w:rsid w:val="0004781E"/>
    <w:rsid w:val="00066EFC"/>
    <w:rsid w:val="0008758A"/>
    <w:rsid w:val="000C1E68"/>
    <w:rsid w:val="001A2EFD"/>
    <w:rsid w:val="001A3B3D"/>
    <w:rsid w:val="001B67DC"/>
    <w:rsid w:val="002254A9"/>
    <w:rsid w:val="00233D97"/>
    <w:rsid w:val="002347A2"/>
    <w:rsid w:val="002850E3"/>
    <w:rsid w:val="002A1B82"/>
    <w:rsid w:val="00354FCF"/>
    <w:rsid w:val="003A19E2"/>
    <w:rsid w:val="003B2B40"/>
    <w:rsid w:val="003B4E04"/>
    <w:rsid w:val="003E0B52"/>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B6B66"/>
    <w:rsid w:val="006F6D3D"/>
    <w:rsid w:val="00715BEA"/>
    <w:rsid w:val="00740EEA"/>
    <w:rsid w:val="00743396"/>
    <w:rsid w:val="00774A94"/>
    <w:rsid w:val="00794804"/>
    <w:rsid w:val="007B33F1"/>
    <w:rsid w:val="007B6269"/>
    <w:rsid w:val="007B6DDA"/>
    <w:rsid w:val="007C0308"/>
    <w:rsid w:val="007C2FF2"/>
    <w:rsid w:val="007D29BB"/>
    <w:rsid w:val="007D6232"/>
    <w:rsid w:val="007F1F99"/>
    <w:rsid w:val="007F768F"/>
    <w:rsid w:val="0080791D"/>
    <w:rsid w:val="00836367"/>
    <w:rsid w:val="00855EDE"/>
    <w:rsid w:val="00873603"/>
    <w:rsid w:val="008A2C7D"/>
    <w:rsid w:val="008B6524"/>
    <w:rsid w:val="008C4B23"/>
    <w:rsid w:val="008F6E2C"/>
    <w:rsid w:val="009303D9"/>
    <w:rsid w:val="00933C64"/>
    <w:rsid w:val="00972203"/>
    <w:rsid w:val="009D19C0"/>
    <w:rsid w:val="009F1D79"/>
    <w:rsid w:val="009F67D9"/>
    <w:rsid w:val="00A059B3"/>
    <w:rsid w:val="00A27362"/>
    <w:rsid w:val="00AE3409"/>
    <w:rsid w:val="00B11A60"/>
    <w:rsid w:val="00B22613"/>
    <w:rsid w:val="00B44A76"/>
    <w:rsid w:val="00B6222B"/>
    <w:rsid w:val="00B768D1"/>
    <w:rsid w:val="00B811C8"/>
    <w:rsid w:val="00BA006D"/>
    <w:rsid w:val="00BA1025"/>
    <w:rsid w:val="00BB42C5"/>
    <w:rsid w:val="00BB5678"/>
    <w:rsid w:val="00BC3420"/>
    <w:rsid w:val="00BD670B"/>
    <w:rsid w:val="00BE7D3C"/>
    <w:rsid w:val="00BF5FF6"/>
    <w:rsid w:val="00C0207F"/>
    <w:rsid w:val="00C16117"/>
    <w:rsid w:val="00C3075A"/>
    <w:rsid w:val="00C919A4"/>
    <w:rsid w:val="00CA4392"/>
    <w:rsid w:val="00CC393F"/>
    <w:rsid w:val="00D2176E"/>
    <w:rsid w:val="00D429E6"/>
    <w:rsid w:val="00D632BE"/>
    <w:rsid w:val="00D72D06"/>
    <w:rsid w:val="00D7522C"/>
    <w:rsid w:val="00D7536F"/>
    <w:rsid w:val="00D76668"/>
    <w:rsid w:val="00DC24A3"/>
    <w:rsid w:val="00E07383"/>
    <w:rsid w:val="00E165BC"/>
    <w:rsid w:val="00E61E12"/>
    <w:rsid w:val="00E7596C"/>
    <w:rsid w:val="00E878F2"/>
    <w:rsid w:val="00ED0149"/>
    <w:rsid w:val="00EF7DE3"/>
    <w:rsid w:val="00F03103"/>
    <w:rsid w:val="00F271DE"/>
    <w:rsid w:val="00F627DA"/>
    <w:rsid w:val="00F7288F"/>
    <w:rsid w:val="00F745BC"/>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AA8045A"/>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Preformatted"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jc w:val="center"/>
    </w:pPr>
  </w:style>
  <w:style w:type="paragraph" w:styleId="1">
    <w:name w:val="heading 1"/>
    <w:basedOn w:val="a"/>
    <w:next w:val="a"/>
    <w:qFormat/>
    <w:rsid w:val="006B6B66"/>
    <w:pPr>
      <w:keepNext/>
      <w:keepLines/>
      <w:numPr>
        <w:numId w:val="4"/>
      </w:numPr>
      <w:tabs>
        <w:tab w:val="start" w:pos="10.80pt"/>
      </w:tabs>
      <w:spacing w:before="8pt" w:after="4pt"/>
      <w:ind w:firstLine="0pt"/>
      <w:outlineLvl w:val="0"/>
    </w:pPr>
    <w:rPr>
      <w:smallCaps/>
      <w:noProof/>
    </w:rPr>
  </w:style>
  <w:style w:type="paragraph" w:styleId="2">
    <w:name w:val="heading 2"/>
    <w:basedOn w:val="a"/>
    <w:next w:val="a"/>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3">
    <w:name w:val="heading 3"/>
    <w:basedOn w:val="a"/>
    <w:next w:val="a"/>
    <w:qFormat/>
    <w:rsid w:val="00794804"/>
    <w:pPr>
      <w:numPr>
        <w:ilvl w:val="2"/>
        <w:numId w:val="4"/>
      </w:numPr>
      <w:spacing w:line="12pt" w:lineRule="exact"/>
      <w:ind w:firstLine="14.40pt"/>
      <w:jc w:val="both"/>
      <w:outlineLvl w:val="2"/>
    </w:pPr>
    <w:rPr>
      <w:i/>
      <w:iCs/>
      <w:noProof/>
    </w:rPr>
  </w:style>
  <w:style w:type="paragraph" w:styleId="4">
    <w:name w:val="heading 4"/>
    <w:basedOn w:val="a"/>
    <w:next w:val="a"/>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5">
    <w:name w:val="heading 5"/>
    <w:basedOn w:val="a"/>
    <w:next w:val="a"/>
    <w:qFormat/>
    <w:pPr>
      <w:tabs>
        <w:tab w:val="start" w:pos="18pt"/>
      </w:tabs>
      <w:spacing w:before="8pt" w:after="4pt"/>
      <w:outlineLvl w:val="4"/>
    </w:pPr>
    <w:rPr>
      <w:smallCaps/>
      <w:noProof/>
    </w:rPr>
  </w:style>
  <w:style w:type="character" w:default="1" w:styleId="a0">
    <w:name w:val="Default Paragraph Font"/>
    <w:uiPriority w:val="1"/>
    <w:unhideWhenUsed/>
  </w:style>
  <w:style w:type="table" w:default="1" w:styleId="a1">
    <w:name w:val="Normal Table"/>
    <w:uiPriority w:val="99"/>
    <w:semiHidden/>
    <w:unhideWhenUsed/>
    <w:tblPr>
      <w:tblInd w:w="0pt" w:type="dxa"/>
      <w:tblCellMar>
        <w:top w:w="0pt" w:type="dxa"/>
        <w:start w:w="5.40pt" w:type="dxa"/>
        <w:bottom w:w="0pt" w:type="dxa"/>
        <w:end w:w="5.40pt" w:type="dxa"/>
      </w:tblCellMar>
    </w:tblPr>
  </w:style>
  <w:style w:type="numbering" w:default="1" w:styleId="a2">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a3">
    <w:name w:val="Body Text"/>
    <w:basedOn w:val="a"/>
    <w:link w:val="a4"/>
    <w:rsid w:val="00E7596C"/>
    <w:pPr>
      <w:tabs>
        <w:tab w:val="start" w:pos="14.40pt"/>
      </w:tabs>
      <w:spacing w:after="6pt" w:line="11.40pt" w:lineRule="auto"/>
      <w:ind w:firstLine="14.40pt"/>
      <w:jc w:val="both"/>
    </w:pPr>
    <w:rPr>
      <w:spacing w:val="-1"/>
      <w:lang w:val="x-none" w:eastAsia="x-none"/>
    </w:rPr>
  </w:style>
  <w:style w:type="character" w:customStyle="1" w:styleId="a4">
    <w:name w:val="正文文本 字符"/>
    <w:link w:val="a3"/>
    <w:rsid w:val="00E7596C"/>
    <w:rPr>
      <w:spacing w:val="-1"/>
      <w:lang w:val="x-none" w:eastAsia="x-none"/>
    </w:rPr>
  </w:style>
  <w:style w:type="paragraph" w:customStyle="1" w:styleId="bulletlist">
    <w:name w:val="bullet list"/>
    <w:basedOn w:val="a3"/>
    <w:rsid w:val="001B67DC"/>
    <w:pPr>
      <w:numPr>
        <w:numId w:val="1"/>
      </w:numPr>
      <w:tabs>
        <w:tab w:val="clear" w:pos="32.40pt"/>
      </w:tabs>
      <w:ind w:start="28.80pt" w:hanging="14.40pt"/>
    </w:pPr>
  </w:style>
  <w:style w:type="paragraph" w:customStyle="1" w:styleId="equation">
    <w:name w:val="equation"/>
    <w:basedOn w:val="a"/>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a5">
    <w:name w:val="header"/>
    <w:basedOn w:val="a"/>
    <w:link w:val="a6"/>
    <w:rsid w:val="001A3B3D"/>
    <w:pPr>
      <w:tabs>
        <w:tab w:val="center" w:pos="234pt"/>
        <w:tab w:val="end" w:pos="468pt"/>
      </w:tabs>
    </w:pPr>
  </w:style>
  <w:style w:type="character" w:customStyle="1" w:styleId="a6">
    <w:name w:val="页眉 字符"/>
    <w:basedOn w:val="a0"/>
    <w:link w:val="a5"/>
    <w:rsid w:val="001A3B3D"/>
  </w:style>
  <w:style w:type="paragraph" w:styleId="a7">
    <w:name w:val="footer"/>
    <w:basedOn w:val="a"/>
    <w:link w:val="a8"/>
    <w:rsid w:val="001A3B3D"/>
    <w:pPr>
      <w:tabs>
        <w:tab w:val="center" w:pos="234pt"/>
        <w:tab w:val="end" w:pos="468pt"/>
      </w:tabs>
    </w:pPr>
  </w:style>
  <w:style w:type="character" w:customStyle="1" w:styleId="a8">
    <w:name w:val="页脚 字符"/>
    <w:basedOn w:val="a0"/>
    <w:link w:val="a7"/>
    <w:rsid w:val="001A3B3D"/>
  </w:style>
  <w:style w:type="paragraph" w:styleId="a9">
    <w:name w:val="Normal (Web)"/>
    <w:basedOn w:val="a"/>
    <w:rsid w:val="00D429E6"/>
    <w:rPr>
      <w:sz w:val="24"/>
      <w:szCs w:val="24"/>
    </w:rPr>
  </w:style>
  <w:style w:type="character" w:styleId="aa">
    <w:name w:val="Placeholder Text"/>
    <w:basedOn w:val="a0"/>
    <w:uiPriority w:val="99"/>
    <w:semiHidden/>
    <w:rsid w:val="007B6269"/>
    <w:rPr>
      <w:color w:val="666666"/>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image" Target="media/image2.svg"/><Relationship Id="rId4" Type="http://purl.oclc.org/ooxml/officeDocument/relationships/settings" Target="settings.xml"/><Relationship Id="rId9" Type="http://purl.oclc.org/ooxml/officeDocument/relationships/image" Target="media/image1.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0886783A-7790-9B4E-A29D-B1082E6B3F06}">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444</TotalTime>
  <Pages>4</Pages>
  <Words>2897</Words>
  <Characters>15040</Characters>
  <Application>Microsoft Office Word</Application>
  <DocSecurity>0</DocSecurity>
  <Lines>385</Lines>
  <Paragraphs>130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17807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力言 赵</cp:lastModifiedBy>
  <cp:revision>11</cp:revision>
  <dcterms:created xsi:type="dcterms:W3CDTF">2020-07-20T08:51:00Z</dcterms:created>
  <dcterms:modified xsi:type="dcterms:W3CDTF">2026-10-25T05:01:00Z</dcterms:modified>
</cp:coreProperties>
</file>