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315EE59" w14:textId="77777777" w:rsidR="00A54150" w:rsidRDefault="00A54150" w:rsidP="00053E4C">
      <w:pPr>
        <w:pStyle w:val="Author"/>
        <w:spacing w:before="5pt" w:beforeAutospacing="1"/>
        <w:rPr>
          <w:rFonts w:eastAsiaTheme="minorEastAsia"/>
          <w:kern w:val="48"/>
          <w:sz w:val="48"/>
          <w:szCs w:val="48"/>
          <w:lang w:eastAsia="zh-CN"/>
        </w:rPr>
      </w:pPr>
      <w:r w:rsidRPr="00A54150">
        <w:rPr>
          <w:rFonts w:eastAsiaTheme="minorEastAsia"/>
          <w:kern w:val="48"/>
          <w:sz w:val="48"/>
          <w:szCs w:val="48"/>
          <w:lang w:eastAsia="zh-CN"/>
        </w:rPr>
        <w:t>A Fully Asynchronous Hierarchical NoC for Scalable High-Fanout Communication</w:t>
      </w:r>
    </w:p>
    <w:p w14:paraId="74D9383E" w14:textId="38A09236" w:rsidR="00053E4C" w:rsidRDefault="00053E4C" w:rsidP="00053E4C">
      <w:pPr>
        <w:pStyle w:val="Author"/>
        <w:spacing w:before="5pt" w:beforeAutospacing="1"/>
        <w:rPr>
          <w:sz w:val="18"/>
          <w:szCs w:val="18"/>
          <w:lang w:eastAsia="zh-CN"/>
        </w:rPr>
      </w:pPr>
      <w:r w:rsidRPr="00F847A6">
        <w:rPr>
          <w:sz w:val="18"/>
          <w:szCs w:val="18"/>
        </w:rPr>
        <w:t>line 1: 1</w:t>
      </w:r>
      <w:r w:rsidRPr="00F847A6">
        <w:rPr>
          <w:sz w:val="18"/>
          <w:szCs w:val="18"/>
          <w:vertAlign w:val="superscript"/>
        </w:rPr>
        <w:t>st</w:t>
      </w:r>
      <w:r w:rsidRPr="00F847A6">
        <w:rPr>
          <w:sz w:val="18"/>
          <w:szCs w:val="18"/>
        </w:rPr>
        <w:t xml:space="preserve"> Given Name Surname </w:t>
      </w:r>
      <w:r w:rsidRPr="00F847A6">
        <w:rPr>
          <w:sz w:val="18"/>
          <w:szCs w:val="18"/>
        </w:rPr>
        <w:br/>
        <w:t xml:space="preserve">line 2: </w:t>
      </w:r>
      <w:r w:rsidRPr="00F847A6">
        <w:rPr>
          <w:i/>
          <w:sz w:val="18"/>
          <w:szCs w:val="18"/>
        </w:rPr>
        <w:t>dept. name of organization</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w:t>
      </w:r>
      <w:r>
        <w:rPr>
          <w:rFonts w:hint="eastAsia"/>
          <w:sz w:val="18"/>
          <w:szCs w:val="18"/>
          <w:lang w:eastAsia="zh-CN"/>
        </w:rPr>
        <w:t>D</w:t>
      </w:r>
    </w:p>
    <w:p w14:paraId="6111ED35" w14:textId="77777777" w:rsidR="00053E4C" w:rsidRPr="00053E4C" w:rsidRDefault="00053E4C" w:rsidP="00CA4392">
      <w:pPr>
        <w:pStyle w:val="Author"/>
        <w:spacing w:before="5pt" w:beforeAutospacing="1" w:after="5pt" w:afterAutospacing="1" w:line="6pt" w:lineRule="auto"/>
        <w:rPr>
          <w:sz w:val="16"/>
          <w:szCs w:val="16"/>
          <w:lang w:eastAsia="zh-CN"/>
        </w:rPr>
        <w:sectPr w:rsidR="00053E4C" w:rsidRPr="00053E4C" w:rsidSect="003B4E04">
          <w:footerReference w:type="first" r:id="rId8"/>
          <w:pgSz w:w="595.30pt" w:h="841.90pt" w:code="9"/>
          <w:pgMar w:top="27pt" w:right="44.65pt" w:bottom="72pt" w:left="44.65pt" w:header="36pt" w:footer="36pt" w:gutter="0pt"/>
          <w:cols w:space="36pt"/>
          <w:titlePg/>
          <w:docGrid w:linePitch="360"/>
        </w:sectPr>
      </w:pPr>
    </w:p>
    <w:p w14:paraId="585D0763" w14:textId="6F5083FD" w:rsidR="009F1D79" w:rsidRPr="00053E4C" w:rsidRDefault="00BD670B" w:rsidP="00053E4C">
      <w:pPr>
        <w:pStyle w:val="Author"/>
        <w:spacing w:before="5pt" w:beforeAutospacing="1"/>
        <w:jc w:val="both"/>
        <w:rPr>
          <w:sz w:val="18"/>
          <w:szCs w:val="18"/>
        </w:rPr>
        <w:sectPr w:rsidR="009F1D79" w:rsidRPr="00053E4C"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03F143E0"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9C592DC" w14:textId="573133BA" w:rsidR="004D72B5" w:rsidRDefault="009303D9" w:rsidP="00972203">
      <w:pPr>
        <w:pStyle w:val="Abstract"/>
        <w:rPr>
          <w:i/>
          <w:iCs/>
        </w:rPr>
      </w:pPr>
      <w:r>
        <w:rPr>
          <w:i/>
          <w:iCs/>
        </w:rPr>
        <w:t>Abstract</w:t>
      </w:r>
      <w:r>
        <w:t>—</w:t>
      </w:r>
      <w:r w:rsidR="00A54150" w:rsidRPr="00A54150">
        <w:t>Large-scale neuromorphic and event-driven processors increasingly rely on the on-chip network to support growing numbers of processing elements and high-fanout event transfers. As network scale increases, communication performance is limited by traversal overhead, redundant multicast traffic, and contention at aggregation points. This work presents a fully asynchronous hierarchical NoC combining a parallel-path hierarchy with a multi-plane upper mesh, cross-tier native multicast, and phase-adaptive multi-lane control under two-phase bundled-data handshaking. The architecture increases path diversity and aggregation capacity, preserves multicast sharing across hierarchy levels, and enables dynamic use of parallel physical lanes while maintaining correct channel phase relationships. Post-synthesis evaluation shows 379.2 Mflit/s/port peak delivered network throughput, a 93.8% reduction in multicast completion latency, and 3.00 Gflit/s aggregate throughput for a representative four-lane router. These results demonstrate a scalable fully asynchronous NoC with strong network, multicast, and router-level performance.</w:t>
      </w:r>
    </w:p>
    <w:p w14:paraId="0B9FDB64"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0EB03A29" w14:textId="11E36D7B" w:rsidR="009303D9" w:rsidRPr="00D632BE" w:rsidRDefault="009303D9" w:rsidP="006B6B66">
      <w:pPr>
        <w:pStyle w:val="1"/>
      </w:pPr>
      <w:bookmarkStart w:id="0" w:name="_Ref239451333"/>
      <w:r w:rsidRPr="00D632BE">
        <w:t>Introduction</w:t>
      </w:r>
      <w:bookmarkEnd w:id="0"/>
      <w:r w:rsidRPr="00D632BE">
        <w:t xml:space="preserve"> </w:t>
      </w:r>
    </w:p>
    <w:p w14:paraId="5A223171" w14:textId="6DF7D76E" w:rsidR="002D0D7C" w:rsidRPr="002D0D7C" w:rsidRDefault="002D0D7C" w:rsidP="002D0D7C">
      <w:pPr>
        <w:pStyle w:val="a3"/>
        <w:rPr>
          <w:lang w:eastAsia="zh-CN"/>
        </w:rPr>
      </w:pPr>
      <w:r w:rsidRPr="002D0D7C">
        <w:rPr>
          <w:lang w:eastAsia="zh-CN"/>
        </w:rPr>
        <w:t>Large-scale neuromorphic and event-driven processors increasingly depend on the scalability of their on-chip communication fabrics. IBM TrueNorth integrates 4,096 neurosynaptic cores on a single chip (TrueNorth), while the more recent PAICORE integrates 1,024 neuromorphic cores with an on-chip hierarchical interconnect (PAICORE). Intel’s Loihi 2 contains up to 128 fully asynchronous neuron cores connected by an on-chip network (Loihi 2 Technology Brief), and Hala Point further scales 1,152 Loihi 2 processors to 140,544 neuromorphic cores (Hala Point). Neural connectivity meanwhile requires sparse events to be delivered to both nearby and distant destinations with inherently high fanout. As system size grows, the network must therefore sustain more concurrent communication while meeting increasingly stringent latency, throughput, and energy constraints. Communication bandwidth, routing latency, and routing resources have consequently become important scalability concerns in large neuromorphic systems (DYNAPs; PAICORE; Ultra). This pressure is further amplified by high-fanout communication, where a single event may generate traffic toward many destinations and increase network load even when computation itself is sparse (Multicast Tree Router; HBS). The central interconnect challenge is therefore not simply to connect more processing elements, but to maintain NoC performance as both network scale and communication fanout increase.</w:t>
      </w:r>
    </w:p>
    <w:p w14:paraId="6CCF95D0" w14:textId="77777777" w:rsidR="002D0D7C" w:rsidRPr="002D0D7C" w:rsidRDefault="002D0D7C" w:rsidP="002D0D7C">
      <w:pPr>
        <w:pStyle w:val="a3"/>
        <w:rPr>
          <w:lang w:eastAsia="zh-CN"/>
        </w:rPr>
      </w:pPr>
      <w:r w:rsidRPr="002D0D7C">
        <w:rPr>
          <w:lang w:eastAsia="zh-CN"/>
        </w:rPr>
        <w:t>Prior work has improved NoC performance by targeting different components of packet delivery. Following the standard latency decomposition used in interconnection-</w:t>
      </w:r>
      <w:r w:rsidRPr="002D0D7C">
        <w:rPr>
          <w:lang w:eastAsia="zh-CN"/>
        </w:rPr>
        <w:t>network analysis (Dally &amp; Towles; SMART), the communication latency can be expressed as</w:t>
      </w:r>
    </w:p>
    <w:p w14:paraId="72B33DA0" w14:textId="352C5D39" w:rsidR="002D0D7C" w:rsidRPr="002D0D7C" w:rsidRDefault="00000000" w:rsidP="002D0D7C">
      <w:pPr>
        <w:pStyle w:val="a3"/>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T</m:t>
                    </m:r>
                  </m:e>
                  <m:sub>
                    <m:r>
                      <m:rPr>
                        <m:sty m:val="p"/>
                      </m:rPr>
                      <w:rPr>
                        <w:rFonts w:ascii="Cambria Math" w:hAnsi="Cambria Math"/>
                        <w:lang w:eastAsia="zh-CN"/>
                      </w:rPr>
                      <m:t>comm</m:t>
                    </m:r>
                  </m:sub>
                </m:sSub>
                <m:r>
                  <w:rPr>
                    <w:rFonts w:ascii="Cambria Math" w:hAnsi="Cambria Math"/>
                    <w:lang w:eastAsia="zh-CN"/>
                  </w:rPr>
                  <m:t>=H</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r</m:t>
                    </m:r>
                  </m:sub>
                </m:sSub>
                <m:r>
                  <w:rPr>
                    <w:rFonts w:ascii="Cambria Math" w:hAnsi="Cambria Math"/>
                    <w:lang w:eastAsia="zh-CN"/>
                  </w:rPr>
                  <m:t>+H</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c</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L</m:t>
                    </m:r>
                  </m:num>
                  <m:den>
                    <m:r>
                      <w:rPr>
                        <w:rFonts w:ascii="Cambria Math" w:hAnsi="Cambria Math"/>
                        <w:lang w:eastAsia="zh-CN"/>
                      </w:rPr>
                      <m:t>b</m:t>
                    </m:r>
                  </m:den>
                </m:f>
                <m:r>
                  <w:rPr>
                    <w:rFonts w:ascii="Cambria Math" w:hAnsi="Cambria Math"/>
                    <w:lang w:eastAsia="zh-CN"/>
                  </w:rPr>
                  <m:t>,</m:t>
                </m:r>
              </m:e>
              <m:e/>
              <m:e>
                <m:r>
                  <m:rPr>
                    <m:nor/>
                  </m:rPr>
                  <w:rPr>
                    <w:lang w:eastAsia="zh-CN"/>
                  </w:rPr>
                  <m:t>(1)</m:t>
                </m:r>
              </m:e>
            </m:mr>
          </m:m>
        </m:oMath>
      </m:oMathPara>
    </w:p>
    <w:p w14:paraId="731C40B0" w14:textId="3CC84784" w:rsidR="00A54150" w:rsidRPr="002D0D7C" w:rsidRDefault="002D0D7C" w:rsidP="00A54150">
      <w:pPr>
        <w:pStyle w:val="a3"/>
        <w:rPr>
          <w:lang w:eastAsia="zh-CN"/>
        </w:rPr>
      </w:pPr>
      <w:r w:rsidRPr="002D0D7C">
        <w:rPr>
          <w:lang w:eastAsia="zh-CN"/>
        </w:rPr>
        <w:t xml:space="preserve">where </w:t>
      </w:r>
      <m:oMath>
        <m:r>
          <w:rPr>
            <w:rFonts w:ascii="Cambria Math" w:hAnsi="Cambria Math"/>
            <w:lang w:eastAsia="zh-CN"/>
          </w:rPr>
          <m:t>H</m:t>
        </m:r>
      </m:oMath>
      <w:r w:rsidRPr="002D0D7C">
        <w:rPr>
          <w:lang w:eastAsia="zh-CN"/>
        </w:rPr>
        <w:t xml:space="preserve">is the number of router hops, </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r</m:t>
            </m:r>
          </m:sub>
        </m:sSub>
      </m:oMath>
      <w:r w:rsidRPr="002D0D7C">
        <w:rPr>
          <w:lang w:eastAsia="zh-CN"/>
        </w:rPr>
        <w:t xml:space="preserve">and </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w</m:t>
            </m:r>
          </m:sub>
        </m:sSub>
      </m:oMath>
      <w:r w:rsidRPr="002D0D7C">
        <w:rPr>
          <w:lang w:eastAsia="zh-CN"/>
        </w:rPr>
        <w:t xml:space="preserve">are the router and link delays per hop, </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c</m:t>
            </m:r>
          </m:sub>
        </m:sSub>
      </m:oMath>
      <w:r w:rsidRPr="002D0D7C">
        <w:rPr>
          <w:lang w:eastAsia="zh-CN"/>
        </w:rPr>
        <w:t xml:space="preserve">is the delay caused by contention, and </w:t>
      </w:r>
      <m:oMath>
        <m:r>
          <w:rPr>
            <w:rFonts w:ascii="Cambria Math" w:hAnsi="Cambria Math"/>
            <w:lang w:eastAsia="zh-CN"/>
          </w:rPr>
          <m:t>L/b</m:t>
        </m:r>
      </m:oMath>
      <w:r w:rsidRPr="002D0D7C">
        <w:rPr>
          <w:lang w:eastAsia="zh-CN"/>
        </w:rPr>
        <w:t xml:space="preserve">represents packet serialization. This model highlights three complementary directions for NoC performance optimization. </w:t>
      </w:r>
      <w:r w:rsidRPr="002D0D7C">
        <w:rPr>
          <w:b/>
          <w:bCs/>
          <w:lang w:eastAsia="zh-CN"/>
        </w:rPr>
        <w:t>(a) Topology optimization:</w:t>
      </w:r>
      <w:r w:rsidRPr="002D0D7C">
        <w:rPr>
          <w:lang w:eastAsia="zh-CN"/>
        </w:rPr>
        <w:t xml:space="preserve"> topology primarily reduces </w:t>
      </w:r>
      <m:oMath>
        <m:r>
          <w:rPr>
            <w:rFonts w:ascii="Cambria Math" w:hAnsi="Cambria Math"/>
            <w:lang w:eastAsia="zh-CN"/>
          </w:rPr>
          <m:t>H</m:t>
        </m:r>
      </m:oMath>
      <w:r w:rsidRPr="002D0D7C">
        <w:rPr>
          <w:lang w:eastAsia="zh-CN"/>
        </w:rPr>
        <w:t xml:space="preserve">by shortening communication paths, while additional connectivity or bandwidth can also relieve </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c</m:t>
            </m:r>
          </m:sub>
        </m:sSub>
      </m:oMath>
      <w:r w:rsidRPr="002D0D7C">
        <w:rPr>
          <w:lang w:eastAsia="zh-CN"/>
        </w:rPr>
        <w:t xml:space="preserve">. Regular mesh and torus networks expose different trade-offs between network diameter and implementation cost (NoC Topology Analysis), whereas high-radix structures such as the flattened butterfly reduce hop count through richer connectivity (Flattened Butterfly). Hierarchical networks provide another approach by keeping local communication on shorter paths and provisioning additional capacity toward higher levels, as exemplified by the fat-tree organization in PAICORE (PAICORE). </w:t>
      </w:r>
      <w:r w:rsidRPr="002D0D7C">
        <w:rPr>
          <w:b/>
          <w:bCs/>
          <w:lang w:eastAsia="zh-CN"/>
        </w:rPr>
        <w:t>(b) Routing and traffic optimization:</w:t>
      </w:r>
      <w:r w:rsidRPr="002D0D7C">
        <w:rPr>
          <w:lang w:eastAsia="zh-CN"/>
        </w:rPr>
        <w:t xml:space="preserve"> routing determines the actual paths taken by packets and how traffic is distributed, thereby affecting both </w:t>
      </w:r>
      <m:oMath>
        <m:r>
          <w:rPr>
            <w:rFonts w:ascii="Cambria Math" w:hAnsi="Cambria Math"/>
            <w:lang w:eastAsia="zh-CN"/>
          </w:rPr>
          <m:t>H</m:t>
        </m:r>
      </m:oMath>
      <w:r w:rsidRPr="002D0D7C">
        <w:rPr>
          <w:lang w:eastAsia="zh-CN"/>
        </w:rPr>
        <w:t xml:space="preserve">and </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c</m:t>
            </m:r>
          </m:sub>
        </m:sSub>
      </m:oMath>
      <w:r w:rsidRPr="002D0D7C">
        <w:rPr>
          <w:lang w:eastAsia="zh-CN"/>
        </w:rPr>
        <w:t xml:space="preserve">. Adaptive routing can steer packets away from congested regions (Carpool), while hardware multicast allows multiple destinations to share common path segments instead of repeatedly transmitting the same information (VCTM). </w:t>
      </w:r>
      <w:r w:rsidRPr="002D0D7C">
        <w:rPr>
          <w:b/>
          <w:bCs/>
          <w:lang w:eastAsia="zh-CN"/>
        </w:rPr>
        <w:t>(c) Router microarchitecture optimization:</w:t>
      </w:r>
      <w:r w:rsidRPr="002D0D7C">
        <w:rPr>
          <w:lang w:eastAsia="zh-CN"/>
        </w:rPr>
        <w:t xml:space="preserve"> router design primarily targets </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r</m:t>
            </m:r>
          </m:sub>
        </m:sSub>
      </m:oMath>
      <w:r w:rsidRPr="002D0D7C">
        <w:rPr>
          <w:lang w:eastAsia="zh-CN"/>
        </w:rPr>
        <w:t xml:space="preserve">and the local contribution to </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c</m:t>
            </m:r>
          </m:sub>
        </m:sSub>
      </m:oMath>
      <w:r w:rsidRPr="002D0D7C">
        <w:rPr>
          <w:lang w:eastAsia="zh-CN"/>
        </w:rPr>
        <w:t xml:space="preserve">, while wider or parallel datapaths can increase </w:t>
      </w:r>
      <m:oMath>
        <m:r>
          <w:rPr>
            <w:rFonts w:ascii="Cambria Math" w:hAnsi="Cambria Math"/>
            <w:lang w:eastAsia="zh-CN"/>
          </w:rPr>
          <m:t>b</m:t>
        </m:r>
      </m:oMath>
      <w:r w:rsidRPr="002D0D7C">
        <w:rPr>
          <w:lang w:eastAsia="zh-CN"/>
        </w:rPr>
        <w:t>. FlooNoC increases communication bandwidth through wide and parallel channels (FlooNoC); specialized routers can optimize multicast and aggregation traffic (MONET); and fully asynchronous implementations can reduce forwarding latency without conventional clocked pipelines (Reusable DATE’26).</w:t>
      </w:r>
    </w:p>
    <w:p w14:paraId="35F939D4" w14:textId="77777777" w:rsidR="00A54150" w:rsidRDefault="00A54150" w:rsidP="002D0D7C">
      <w:pPr>
        <w:pStyle w:val="a3"/>
        <w:rPr>
          <w:lang w:val="en-US" w:eastAsia="zh-CN"/>
        </w:rPr>
      </w:pPr>
      <w:r w:rsidRPr="00A54150">
        <w:rPr>
          <w:lang w:val="en-US" w:eastAsia="zh-CN"/>
        </w:rPr>
        <w:t xml:space="preserve">However, network scale and communication fanout couple the terms in (1), making isolated optimization increasingly insufficient. As the network grows, communication over longer distances tends to increase </w:t>
      </w:r>
      <m:oMath>
        <m:r>
          <w:rPr>
            <w:rFonts w:ascii="Cambria Math" w:hAnsi="Cambria Math"/>
            <w:lang w:val="en-US" w:eastAsia="zh-CN"/>
          </w:rPr>
          <m:t>H</m:t>
        </m:r>
      </m:oMath>
      <w:r w:rsidRPr="00A54150">
        <w:rPr>
          <w:lang w:val="en-US" w:eastAsia="zh-CN"/>
        </w:rPr>
        <w:t xml:space="preserve">, causing packets to accumulate more router and link traversal delay. High-fanout communication further increases </w:t>
      </w:r>
      <m:oMath>
        <m:sSub>
          <m:sSubPr>
            <m:ctrlPr>
              <w:rPr>
                <w:rFonts w:ascii="Cambria Math" w:hAnsi="Cambria Math"/>
                <w:lang w:val="en-US" w:eastAsia="zh-CN"/>
              </w:rPr>
            </m:ctrlPr>
          </m:sSubPr>
          <m:e>
            <m:r>
              <w:rPr>
                <w:rFonts w:ascii="Cambria Math" w:hAnsi="Cambria Math"/>
                <w:lang w:val="en-US" w:eastAsia="zh-CN"/>
              </w:rPr>
              <m:t>T</m:t>
            </m:r>
          </m:e>
          <m:sub>
            <m:r>
              <w:rPr>
                <w:rFonts w:ascii="Cambria Math" w:hAnsi="Cambria Math"/>
                <w:lang w:val="en-US" w:eastAsia="zh-CN"/>
              </w:rPr>
              <m:t>c</m:t>
            </m:r>
          </m:sub>
        </m:sSub>
      </m:oMath>
      <w:r w:rsidRPr="00A54150">
        <w:rPr>
          <w:lang w:val="en-US" w:eastAsia="zh-CN"/>
        </w:rPr>
        <w:t xml:space="preserve">when one-to-many transfers are realized through repeated point-to-point transmissions, since multiple copies compete for injection bandwidth and repeatedly occupy shared paths. Hierarchical organizations can reduce </w:t>
      </w:r>
      <m:oMath>
        <m:r>
          <w:rPr>
            <w:rFonts w:ascii="Cambria Math" w:hAnsi="Cambria Math"/>
            <w:lang w:val="en-US" w:eastAsia="zh-CN"/>
          </w:rPr>
          <m:t>H</m:t>
        </m:r>
      </m:oMath>
      <w:r>
        <w:rPr>
          <w:rFonts w:hint="eastAsia"/>
          <w:lang w:val="en-US" w:eastAsia="zh-CN"/>
        </w:rPr>
        <w:t xml:space="preserve"> </w:t>
      </w:r>
      <w:r w:rsidRPr="00A54150">
        <w:rPr>
          <w:lang w:val="en-US" w:eastAsia="zh-CN"/>
        </w:rPr>
        <w:t>by keeping nearby communication local, but traffic is often progressively concentrated toward fewer upper-level routers and links. When the available path diversity and service capacity are insufficient, this concentration increases contention and can cause early throughput saturation. Simply widening a small number of upper-level resources can allevi</w:t>
      </w:r>
      <w:r w:rsidRPr="00A54150">
        <w:rPr>
          <w:lang w:val="en-US" w:eastAsia="zh-CN"/>
        </w:rPr>
        <w:lastRenderedPageBreak/>
        <w:t>ate the bottleneck, but may introduce higher arbitration complexity and hardware cost. Improving large-scale high-fanout NoC performance therefore requires coordina</w:t>
      </w:r>
      <w:r>
        <w:rPr>
          <w:rFonts w:hint="eastAsia"/>
          <w:lang w:val="en-US" w:eastAsia="zh-CN"/>
        </w:rPr>
        <w:t>ted</w:t>
      </w:r>
      <w:r w:rsidRPr="00A54150">
        <w:rPr>
          <w:lang w:val="en-US" w:eastAsia="zh-CN"/>
        </w:rPr>
        <w:t xml:space="preserve"> optimization of path length, traffic replication, and service capacity across topology, routing, and router microarchitecture.</w:t>
      </w:r>
    </w:p>
    <w:p w14:paraId="25C3C603" w14:textId="77777777" w:rsidR="00B35704" w:rsidRPr="00B35704" w:rsidRDefault="00B35704" w:rsidP="00B35704">
      <w:pPr>
        <w:pStyle w:val="a3"/>
        <w:rPr>
          <w:lang w:val="en-US" w:eastAsia="zh-CN"/>
        </w:rPr>
      </w:pPr>
      <w:r w:rsidRPr="00B35704">
        <w:rPr>
          <w:lang w:val="en-US" w:eastAsia="zh-CN"/>
        </w:rPr>
        <w:t>Guided by this cross-layer view, we propose a fully asynchronous hierarchical NoC that jointly addresses path length, redundant traffic, and service bottlenecks under large-scale high-fanout communication. The main contributions of this work are summarized as follows:</w:t>
      </w:r>
    </w:p>
    <w:p w14:paraId="62903635" w14:textId="77777777" w:rsidR="00B35704" w:rsidRPr="00B35704" w:rsidRDefault="00B35704" w:rsidP="00B35704">
      <w:pPr>
        <w:pStyle w:val="a3"/>
        <w:rPr>
          <w:lang w:val="en-US" w:eastAsia="zh-CN"/>
        </w:rPr>
      </w:pPr>
      <w:r w:rsidRPr="00B35704">
        <w:rPr>
          <w:lang w:val="en-US" w:eastAsia="zh-CN"/>
        </w:rPr>
        <w:t xml:space="preserve">• </w:t>
      </w:r>
      <w:r w:rsidRPr="00B35704">
        <w:rPr>
          <w:b/>
          <w:bCs/>
          <w:lang w:val="en-US" w:eastAsia="zh-CN"/>
        </w:rPr>
        <w:t>A parallel-path hierarchical network organization:</w:t>
      </w:r>
      <w:r w:rsidRPr="00B35704">
        <w:rPr>
          <w:lang w:val="en-US" w:eastAsia="zh-CN"/>
        </w:rPr>
        <w:t xml:space="preserve"> The local hierarchy provides multiple alternative paths through replicated intermediate routers instead of progressively concentrating traffic into a small number of wide upper-level routers. At larger scales, hierarchical tiles are connected through multiple independent mesh planes. This organization preserves short local communication paths while distributing converging traffic over parallel network resources.</w:t>
      </w:r>
    </w:p>
    <w:p w14:paraId="517C7648" w14:textId="77777777" w:rsidR="00B35704" w:rsidRPr="00B35704" w:rsidRDefault="00B35704" w:rsidP="00B35704">
      <w:pPr>
        <w:pStyle w:val="a3"/>
        <w:rPr>
          <w:lang w:val="en-US" w:eastAsia="zh-CN"/>
        </w:rPr>
      </w:pPr>
      <w:r w:rsidRPr="00B35704">
        <w:rPr>
          <w:lang w:val="en-US" w:eastAsia="zh-CN"/>
        </w:rPr>
        <w:t xml:space="preserve">• </w:t>
      </w:r>
      <w:r w:rsidRPr="00B35704">
        <w:rPr>
          <w:b/>
          <w:bCs/>
          <w:lang w:val="en-US" w:eastAsia="zh-CN"/>
        </w:rPr>
        <w:t>Multicast routing across the local hierarchy and upper mesh planes:</w:t>
      </w:r>
      <w:r w:rsidRPr="00B35704">
        <w:rPr>
          <w:lang w:val="en-US" w:eastAsia="zh-CN"/>
        </w:rPr>
        <w:t xml:space="preserve"> A multicast transaction initiated by a single source injection remains multicast throughout the network. Routing replicates the transaction only where required as it traverses the local hierarchy and the upper mesh planes, avoiding conversion into separate point-to-point transmissions at the hierarchy boundary and reducing redundant network traffic.</w:t>
      </w:r>
    </w:p>
    <w:p w14:paraId="4E63B632" w14:textId="45386499" w:rsidR="00B35704" w:rsidRPr="00B35704" w:rsidRDefault="00B35704" w:rsidP="00B35704">
      <w:pPr>
        <w:pStyle w:val="a3"/>
        <w:rPr>
          <w:lang w:val="en-US" w:eastAsia="zh-CN"/>
        </w:rPr>
      </w:pPr>
      <w:r w:rsidRPr="00B35704">
        <w:rPr>
          <w:lang w:val="en-US" w:eastAsia="zh-CN"/>
        </w:rPr>
        <w:t xml:space="preserve">• </w:t>
      </w:r>
      <w:r w:rsidRPr="00B35704">
        <w:rPr>
          <w:b/>
          <w:bCs/>
          <w:lang w:val="en-US" w:eastAsia="zh-CN"/>
        </w:rPr>
        <w:t>Fully asynchronous dynamic multi-lane control:</w:t>
      </w:r>
      <w:r w:rsidRPr="00B35704">
        <w:rPr>
          <w:lang w:val="en-US" w:eastAsia="zh-CN"/>
        </w:rPr>
        <w:t xml:space="preserve"> Routers dynamically select among available physical lanes and retain the selected lane for the lifetime of each packet branch. The control logic maintains the request and acknowledgment phase state required by two-phase communication during lane selection and arbitration, increasing local service capacity and reducing contention without relying on local clocks.</w:t>
      </w:r>
    </w:p>
    <w:p w14:paraId="29384D66" w14:textId="63AB74EB" w:rsidR="009303D9" w:rsidRDefault="00791B26" w:rsidP="006B6B66">
      <w:pPr>
        <w:pStyle w:val="1"/>
        <w:rPr>
          <w:lang w:eastAsia="zh-CN"/>
        </w:rPr>
      </w:pPr>
      <w:r>
        <w:rPr>
          <w:rFonts w:hint="eastAsia"/>
          <w:lang w:eastAsia="zh-CN"/>
        </w:rPr>
        <w:t>Backgroud &amp; Motivation</w:t>
      </w:r>
    </w:p>
    <w:p w14:paraId="7FD6D66E" w14:textId="6FED410E" w:rsidR="00470023" w:rsidRDefault="00470023" w:rsidP="00470023">
      <w:pPr>
        <w:pStyle w:val="2"/>
      </w:pPr>
      <w:r w:rsidRPr="00470023">
        <w:t>Communication in Large-Scale Neuromorphic Systems</w:t>
      </w:r>
    </w:p>
    <w:p w14:paraId="2B2D8FF0" w14:textId="77777777" w:rsidR="00470023" w:rsidRDefault="00470023" w:rsidP="00791B26">
      <w:pPr>
        <w:pStyle w:val="a3"/>
        <w:rPr>
          <w:lang w:val="en-US" w:eastAsia="zh-CN"/>
        </w:rPr>
      </w:pPr>
      <w:r w:rsidRPr="00470023">
        <w:rPr>
          <w:lang w:val="en-US" w:eastAsia="zh-CN"/>
        </w:rPr>
        <w:t>Neuromorphic processors distribute neurons and synapses across many processing cores, while the logical connections between neurons are realized through the communication fabric. A widely adopted model is Address-Event Representation (AER), in which a neuron generates an event when it fires and the corresponding address is delivered to its destination cores (DYNAPs). This communication differs from conventional point-to-point traffic in several important ways. Neural connectivity can exhibit very large fanout, so one source event may need to reach many destinations (Multicast Tree Router). Event activity is typically sparse and data-driven, yet each event can trigger multiple network transfers because of this one-to-many connectivity (HBS). Moreover, neural networks exhibit strong communication locality together with less frequent long-range connections, requiring efficient communication both within nearby groups and across the larger system (DYNAPs).</w:t>
      </w:r>
    </w:p>
    <w:p w14:paraId="405653BC" w14:textId="30BB04EF" w:rsidR="00C21520" w:rsidRPr="00C21520" w:rsidRDefault="00470023" w:rsidP="00F611AE">
      <w:pPr>
        <w:pStyle w:val="a3"/>
        <w:ind w:firstLine="0pt"/>
        <w:rPr>
          <w:lang w:val="en-US" w:eastAsia="zh-CN"/>
        </w:rPr>
      </w:pPr>
      <w:r>
        <w:rPr>
          <w:lang w:val="en-US" w:eastAsia="zh-CN"/>
        </w:rPr>
        <w:tab/>
      </w:r>
      <w:r w:rsidRPr="00470023">
        <w:rPr>
          <w:lang w:val="en-US" w:eastAsia="zh-CN"/>
        </w:rPr>
        <w:t xml:space="preserve">As the system grows, these characteristics place several simultaneous demands on the NoC. Longer-distance communication increases the routing work required to reach remote destinations, while high fanout increases the amount of traffic injected into and carried by the network. Traffic from multiple sources can also converge on shared routers and links, making local service capacity increasingly important. Accordingly, bandwidth, latency, and routing-resource requirements have </w:t>
      </w:r>
      <w:r w:rsidRPr="00470023">
        <w:rPr>
          <w:lang w:val="en-US" w:eastAsia="zh-CN"/>
        </w:rPr>
        <w:t>been identified as major scalability concerns in large neuromorphic systems (DYNAPs), while multicast addressing and routing metadata also contribute to communication energy and storage overhead (HBS). The event-driven nature of these systems further makes asynchronous communication a natural implementation choice, since transfers can proceed through local handshakes without a global network clock (Asynchronous Design; Reusable DATE’26). Large-scale neuromorphic NoCs therefore face concurrent pressure from communication distance, traffic volume, and local service demand, which have motivated optimization at multiple levels of the network.</w:t>
      </w:r>
      <w:r w:rsidR="00791B26">
        <w:rPr>
          <w:lang w:val="en-US" w:eastAsia="zh-CN"/>
        </w:rPr>
        <w:tab/>
      </w:r>
      <w:r w:rsidR="00C21520">
        <w:rPr>
          <w:rFonts w:hint="eastAsia"/>
          <w:lang w:val="en-US" w:eastAsia="zh-CN"/>
        </w:rPr>
        <w:t>PICTURE: Two phase and four phase</w:t>
      </w:r>
      <w:r w:rsidR="00791B26">
        <w:rPr>
          <w:rFonts w:hint="eastAsia"/>
          <w:lang w:val="en-US" w:eastAsia="zh-CN"/>
        </w:rPr>
        <w:t xml:space="preserve"> protocol</w:t>
      </w:r>
    </w:p>
    <w:p w14:paraId="083FDF1E" w14:textId="59CB3DD5" w:rsidR="00E21B6C" w:rsidRDefault="00B16AED" w:rsidP="00E21B6C">
      <w:pPr>
        <w:pStyle w:val="2"/>
        <w:rPr>
          <w:lang w:eastAsia="zh-CN"/>
        </w:rPr>
      </w:pPr>
      <w:r>
        <w:rPr>
          <w:rFonts w:hint="eastAsia"/>
          <w:lang w:eastAsia="zh-CN"/>
        </w:rPr>
        <w:t>Scale-out NoC Architectures</w:t>
      </w:r>
    </w:p>
    <w:p w14:paraId="34020332" w14:textId="6A18FDB2" w:rsidR="00255F5E" w:rsidRPr="00255F5E" w:rsidRDefault="00255F5E" w:rsidP="00255F5E">
      <w:pPr>
        <w:ind w:firstLine="14.40pt"/>
        <w:jc w:val="both"/>
        <w:rPr>
          <w:lang w:eastAsia="zh-CN"/>
        </w:rPr>
      </w:pPr>
      <w:r w:rsidRPr="00255F5E">
        <w:rPr>
          <w:lang w:eastAsia="zh-CN"/>
        </w:rPr>
        <w:t>Prior work has attacked the NoC performance problem at several abstraction levels. At the network level, topology determines how far packets travel and where traffic tends to accumulate. Routing then decides how the available paths are used, while multicast can reduce duplicated communication for one-to-many traffic. At the router level, microarchitecture determines how quickly each hop can accept and forward packets. These optimizations address different sources of communication cost, but their effects become increasingly coupled as the network grows.</w:t>
      </w:r>
    </w:p>
    <w:p w14:paraId="4C41584D" w14:textId="77777777" w:rsidR="00255F5E" w:rsidRPr="00255F5E" w:rsidRDefault="00255F5E" w:rsidP="00255F5E">
      <w:pPr>
        <w:ind w:firstLine="14.40pt"/>
        <w:jc w:val="both"/>
        <w:rPr>
          <w:lang w:eastAsia="zh-CN"/>
        </w:rPr>
      </w:pPr>
      <w:r w:rsidRPr="00255F5E">
        <w:rPr>
          <w:b/>
          <w:bCs/>
          <w:lang w:eastAsia="zh-CN"/>
        </w:rPr>
        <w:t>First, topology optimization aims to reduce costly router traversals while avoiding severe traffic concentration.</w:t>
      </w:r>
      <w:r w:rsidRPr="00255F5E">
        <w:rPr>
          <w:lang w:eastAsia="zh-CN"/>
        </w:rPr>
        <w:t xml:space="preserve"> Regular 2-D meshes are attractive because they are simple and modular, but their diameter grows with network size. Prior work has therefore explored higher-connectivity and hierarchical organizations to shorten long routes or keep local traffic away from the global network (Flattened Butterfly; DYNAPs; Hierarchical Mesh-of-Trees). Fat-tree structures further add bandwidth near aggregation points to alleviate convergence (PAICORE). Such changes can reduce path cost, but they also introduce additional links, larger routers, or heavier traffic concentration at upper levels. In this sense, topology optimization often relocates the bottleneck rather than removing it.</w:t>
      </w:r>
    </w:p>
    <w:p w14:paraId="01E5523A" w14:textId="77777777" w:rsidR="00255F5E" w:rsidRPr="00255F5E" w:rsidRDefault="00255F5E" w:rsidP="00255F5E">
      <w:pPr>
        <w:ind w:firstLine="14.40pt"/>
        <w:jc w:val="both"/>
        <w:rPr>
          <w:lang w:eastAsia="zh-CN"/>
        </w:rPr>
      </w:pPr>
      <w:r w:rsidRPr="00255F5E">
        <w:rPr>
          <w:b/>
          <w:bCs/>
          <w:lang w:eastAsia="zh-CN"/>
        </w:rPr>
        <w:t>Second, routing and multicast improve performance by using the available network resources more efficiently.</w:t>
      </w:r>
      <w:r w:rsidRPr="00255F5E">
        <w:rPr>
          <w:lang w:eastAsia="zh-CN"/>
        </w:rPr>
        <w:t xml:space="preserve"> Adaptive routing can steer packets away from congested regions, whereas hardware multicast is especially useful for high-fanout traffic because it avoids repeatedly injecting the same information for different destinations. Tree-based replication and recursive partitioning allow a packet to be copied only where delivery paths diverge, while compact destination representations reduce the routing information carried by multicast packets (VCTM; Multicast Tree Router; CMR; HBS). These techniques can substantially reduce redundant traffic, but lower traffic volume alone does not guarantee low latency when packets still follow long routes or converge at busy routers.</w:t>
      </w:r>
    </w:p>
    <w:p w14:paraId="55901CC9" w14:textId="77777777" w:rsidR="00255F5E" w:rsidRPr="00255F5E" w:rsidRDefault="00255F5E" w:rsidP="00255F5E">
      <w:pPr>
        <w:ind w:firstLine="14.40pt"/>
        <w:jc w:val="both"/>
        <w:rPr>
          <w:lang w:eastAsia="zh-CN"/>
        </w:rPr>
      </w:pPr>
      <w:r w:rsidRPr="00255F5E">
        <w:rPr>
          <w:b/>
          <w:bCs/>
          <w:lang w:eastAsia="zh-CN"/>
        </w:rPr>
        <w:t>Finally, router design determines the cost of each hop and the rate at which local traffic can be served.</w:t>
      </w:r>
      <w:r w:rsidRPr="00255F5E">
        <w:rPr>
          <w:lang w:eastAsia="zh-CN"/>
        </w:rPr>
        <w:t xml:space="preserve"> Previous work has reduced forwarding latency through more efficient buffering, arbitration, bypassing, and parallel datapaths (SMART; STORM). Asynchronous routers approach the same problem from the implementation side: local handshakes remove the need for a network-wide clock, while two-phase signaling avoids the return-to-zero phase of conventional four-phase communication (Transition DATE'13; 14-nm Asynchronous Router; Reusable DATE'26). This can reduce per-hop latency and energy, but higher local parallelism </w:t>
      </w:r>
      <w:r w:rsidRPr="00255F5E">
        <w:rPr>
          <w:lang w:eastAsia="zh-CN"/>
        </w:rPr>
        <w:lastRenderedPageBreak/>
        <w:t>also increases area, arbitration complexity, and control overhead. In particular, dynamically selecting among multiple physical resources is more involved in a two-phase design because the request and acknowledgment phases form part of the communication state.</w:t>
      </w:r>
    </w:p>
    <w:p w14:paraId="5C374E59" w14:textId="1D8FE589" w:rsidR="00255F5E" w:rsidRPr="00D719E4" w:rsidRDefault="00255F5E" w:rsidP="00D719E4">
      <w:pPr>
        <w:ind w:firstLine="14.40pt"/>
        <w:jc w:val="both"/>
        <w:rPr>
          <w:rFonts w:hint="eastAsia"/>
          <w:lang w:eastAsia="zh-CN"/>
        </w:rPr>
      </w:pPr>
      <w:r w:rsidRPr="00255F5E">
        <w:rPr>
          <w:lang w:eastAsia="zh-CN"/>
        </w:rPr>
        <w:t>Taken together, these studies show that path length, network traffic, and router service capacity can each be improved independently. The difficulty at large scale is that optimizing one of them can expose another as the new bottleneck.</w:t>
      </w:r>
    </w:p>
    <w:p w14:paraId="0BFB4C48" w14:textId="6C52A5CB" w:rsidR="00770F52" w:rsidRDefault="00770F52" w:rsidP="00770F52">
      <w:pPr>
        <w:pStyle w:val="2"/>
        <w:rPr>
          <w:lang w:eastAsia="zh-CN"/>
        </w:rPr>
      </w:pPr>
      <w:r>
        <w:rPr>
          <w:rFonts w:hint="eastAsia"/>
          <w:lang w:eastAsia="zh-CN"/>
        </w:rPr>
        <w:t>Design Motivation</w:t>
      </w:r>
    </w:p>
    <w:p w14:paraId="3199050B" w14:textId="3465734A" w:rsidR="00255F5E" w:rsidRPr="00B16AED" w:rsidRDefault="00791B26" w:rsidP="00D719E4">
      <w:pPr>
        <w:ind w:firstLine="14.40pt"/>
        <w:jc w:val="both"/>
        <w:rPr>
          <w:rFonts w:hint="eastAsia"/>
          <w:lang w:eastAsia="zh-CN"/>
        </w:rPr>
      </w:pPr>
      <w:r w:rsidRPr="00791B26">
        <w:rPr>
          <w:lang w:eastAsia="zh-CN"/>
        </w:rPr>
        <w:t xml:space="preserve">These observations motivate three design objectives. First, </w:t>
      </w:r>
      <w:r w:rsidRPr="00791B26">
        <w:rPr>
          <w:highlight w:val="yellow"/>
          <w:lang w:eastAsia="zh-CN"/>
        </w:rPr>
        <w:t>multicast communication should span both local trees and an upper on-chip mesh without being replaced by separate unicast packets for individual clusters.</w:t>
      </w:r>
      <w:r w:rsidRPr="00791B26">
        <w:rPr>
          <w:lang w:eastAsia="zh-CN"/>
        </w:rPr>
        <w:t xml:space="preserve"> The two parts of the network should operate on the same destination description while applying routing rules suited to their respective topologies. Second, </w:t>
      </w:r>
      <w:r w:rsidRPr="00791B26">
        <w:rPr>
          <w:highlight w:val="yellow"/>
          <w:lang w:eastAsia="zh-CN"/>
        </w:rPr>
        <w:t>multiple physical lanes should be controlled entirely asynchronously</w:t>
      </w:r>
      <w:r w:rsidRPr="00791B26">
        <w:rPr>
          <w:lang w:eastAsia="zh-CN"/>
        </w:rPr>
        <w:t>: each multicast branch should remain assigned to one physical lane until the packet completes, while the correct two-phase handshake state is maintained during lane selection and arbitration. Third</w:t>
      </w:r>
      <w:r w:rsidRPr="00791B26">
        <w:rPr>
          <w:highlight w:val="yellow"/>
          <w:lang w:eastAsia="zh-CN"/>
        </w:rPr>
        <w:t>, system scale-out should be achieved by organizing PEs into local trees with a fixed number of levels and connecting these trees through an on-chip 2-D mesh</w:t>
      </w:r>
      <w:r w:rsidRPr="00791B26">
        <w:rPr>
          <w:lang w:eastAsia="zh-CN"/>
        </w:rPr>
        <w:t>. A limited number of parallel physical lanes can provide additional bandwidth inside each tree without requiring the number of lanes to continue increasing toward the upper levels. Section III presents the architecture and routing mechanisms that realize these objectives.</w:t>
      </w:r>
    </w:p>
    <w:p w14:paraId="17444ED6" w14:textId="77777777" w:rsidR="009303D9" w:rsidRDefault="009303D9" w:rsidP="006B6B66">
      <w:pPr>
        <w:pStyle w:val="1"/>
      </w:pPr>
      <w:r>
        <w:t xml:space="preserve">Prepare Your Paper </w:t>
      </w:r>
      <w:r w:rsidRPr="005B520E">
        <w:t>Before</w:t>
      </w:r>
      <w:r>
        <w:t xml:space="preserve"> Styling</w:t>
      </w:r>
    </w:p>
    <w:p w14:paraId="3291269C"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0582F15D"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B72233A" w14:textId="77777777" w:rsidR="009303D9" w:rsidRDefault="009303D9" w:rsidP="00ED0149">
      <w:pPr>
        <w:pStyle w:val="2"/>
      </w:pPr>
      <w:r w:rsidRPr="00ED0149">
        <w:t>Abbreviations</w:t>
      </w:r>
      <w:r>
        <w:t xml:space="preserve"> and Acronyms</w:t>
      </w:r>
    </w:p>
    <w:p w14:paraId="34BE2284" w14:textId="77777777"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7D3EEF80" w14:textId="77777777" w:rsidR="009303D9" w:rsidRDefault="009303D9" w:rsidP="00ED0149">
      <w:pPr>
        <w:pStyle w:val="2"/>
      </w:pPr>
      <w:r>
        <w:t>Units</w:t>
      </w:r>
    </w:p>
    <w:p w14:paraId="727701A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5A864857" w14:textId="77777777" w:rsidR="009303D9" w:rsidRPr="005B520E" w:rsidRDefault="009303D9" w:rsidP="00E7596C">
      <w:pPr>
        <w:pStyle w:val="bulletlist"/>
      </w:pPr>
      <w:r w:rsidRPr="005B520E">
        <w:t xml:space="preserve">Avoid combining SI and CGS units, such as current in amperes and magnetic field in oersteds. This often leads to confusion because equations do not balance dimensionally. If you must use mixed units, clearly </w:t>
      </w:r>
      <w:r w:rsidRPr="005B520E">
        <w:t>state the units for each quantity that you use in an equation.</w:t>
      </w:r>
    </w:p>
    <w:p w14:paraId="6C921D20"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3C744791"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EA51BA"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4E346B" w14:textId="77777777" w:rsidR="009303D9" w:rsidRPr="005B520E" w:rsidRDefault="009303D9" w:rsidP="00ED0149">
      <w:pPr>
        <w:pStyle w:val="2"/>
      </w:pPr>
      <w:r w:rsidRPr="005B520E">
        <w:t>Equations</w:t>
      </w:r>
    </w:p>
    <w:p w14:paraId="563DE3A2"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1F5293DF"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3DFF9992"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11B33B6D"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3FB7FB8" w14:textId="77777777" w:rsidR="009303D9" w:rsidRDefault="009303D9" w:rsidP="00ED0149">
      <w:pPr>
        <w:pStyle w:val="2"/>
      </w:pPr>
      <w:r>
        <w:t>Some Common Mistakes</w:t>
      </w:r>
    </w:p>
    <w:p w14:paraId="025F7563" w14:textId="77777777" w:rsidR="009303D9" w:rsidRPr="005B520E" w:rsidRDefault="009303D9" w:rsidP="00E7596C">
      <w:pPr>
        <w:pStyle w:val="bulletlist"/>
      </w:pPr>
      <w:r w:rsidRPr="005B520E">
        <w:t>The word “data” is plural, not singular.</w:t>
      </w:r>
    </w:p>
    <w:p w14:paraId="23270BA4"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2BF660A8"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5E6E1DA"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2573335A" w14:textId="77777777" w:rsidR="009303D9" w:rsidRPr="005B520E" w:rsidRDefault="009303D9" w:rsidP="00E7596C">
      <w:pPr>
        <w:pStyle w:val="bulletlist"/>
      </w:pPr>
      <w:r w:rsidRPr="005B520E">
        <w:t>Do not use the word “essentially” to mean “approximately” or “effectively”.</w:t>
      </w:r>
    </w:p>
    <w:p w14:paraId="4F85BE4A"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58E1F85E" w14:textId="77777777" w:rsidR="009303D9" w:rsidRPr="005B520E" w:rsidRDefault="009303D9" w:rsidP="00E7596C">
      <w:pPr>
        <w:pStyle w:val="bulletlist"/>
      </w:pPr>
      <w:r w:rsidRPr="005B520E">
        <w:lastRenderedPageBreak/>
        <w:t>Be aware of the different meanings of the homophones “affect” and “effect”, “complement” and “compliment”, “discreet” and “discrete”, “principal” and “principle”.</w:t>
      </w:r>
    </w:p>
    <w:p w14:paraId="70022608" w14:textId="77777777" w:rsidR="009303D9" w:rsidRPr="005B520E" w:rsidRDefault="009303D9" w:rsidP="00E7596C">
      <w:pPr>
        <w:pStyle w:val="bulletlist"/>
      </w:pPr>
      <w:r w:rsidRPr="005B520E">
        <w:t>Do not confuse “imply” and “infer”.</w:t>
      </w:r>
    </w:p>
    <w:p w14:paraId="1D79F2BA" w14:textId="77777777" w:rsidR="009303D9" w:rsidRPr="005B520E" w:rsidRDefault="009303D9" w:rsidP="00E7596C">
      <w:pPr>
        <w:pStyle w:val="bulletlist"/>
      </w:pPr>
      <w:r w:rsidRPr="005B520E">
        <w:t>The prefix “non” is not a word; it should be joined to the word it modifies, usually without a hyphen.</w:t>
      </w:r>
    </w:p>
    <w:p w14:paraId="6A6179BF" w14:textId="77777777" w:rsidR="009303D9" w:rsidRPr="005B520E" w:rsidRDefault="009303D9" w:rsidP="00E7596C">
      <w:pPr>
        <w:pStyle w:val="bulletlist"/>
      </w:pPr>
      <w:r w:rsidRPr="005B520E">
        <w:t>There is no period after the “et” in the Latin abbreviation “et al.”.</w:t>
      </w:r>
    </w:p>
    <w:p w14:paraId="38888CB9" w14:textId="77777777" w:rsidR="009303D9" w:rsidRPr="005B520E" w:rsidRDefault="009303D9" w:rsidP="00E7596C">
      <w:pPr>
        <w:pStyle w:val="bulletlist"/>
      </w:pPr>
      <w:r w:rsidRPr="005B520E">
        <w:t>The abbreviation “i.e.” means “that is”, and the abbreviation “e.g.” means “for example”.</w:t>
      </w:r>
    </w:p>
    <w:p w14:paraId="698B641B" w14:textId="77777777" w:rsidR="009303D9" w:rsidRPr="005B520E" w:rsidRDefault="009303D9" w:rsidP="00E7596C">
      <w:pPr>
        <w:pStyle w:val="a3"/>
      </w:pPr>
      <w:r w:rsidRPr="005B520E">
        <w:t>An excellent style manual for science writers is [7].</w:t>
      </w:r>
    </w:p>
    <w:p w14:paraId="238C43EA" w14:textId="77777777" w:rsidR="009303D9" w:rsidRDefault="009303D9" w:rsidP="006B6B66">
      <w:pPr>
        <w:pStyle w:val="1"/>
      </w:pPr>
      <w:r>
        <w:t xml:space="preserve">Using the </w:t>
      </w:r>
      <w:r w:rsidRPr="005B520E">
        <w:t>Template</w:t>
      </w:r>
    </w:p>
    <w:p w14:paraId="57163542"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0A06093C" w14:textId="77777777" w:rsidR="009303D9" w:rsidRDefault="009303D9" w:rsidP="00ED0149">
      <w:pPr>
        <w:pStyle w:val="2"/>
      </w:pPr>
      <w:r w:rsidRPr="005B520E">
        <w:t>Authors</w:t>
      </w:r>
      <w:r>
        <w:t xml:space="preserve"> and Affiliations</w:t>
      </w:r>
    </w:p>
    <w:p w14:paraId="249CF7A0"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34D46AC6"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541109DE"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CB45E9E"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1E9EAC7E"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484C1020"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291377DD" w14:textId="77777777" w:rsidR="006F6D3D" w:rsidRDefault="006F6D3D" w:rsidP="006F6D3D">
      <w:pPr>
        <w:jc w:val="start"/>
        <w:rPr>
          <w:i/>
          <w:iCs/>
          <w:noProof/>
        </w:rPr>
      </w:pPr>
    </w:p>
    <w:p w14:paraId="6AEA23C3" w14:textId="77777777" w:rsidR="009303D9" w:rsidRDefault="009303D9" w:rsidP="00ED0149">
      <w:pPr>
        <w:pStyle w:val="2"/>
      </w:pPr>
      <w:r w:rsidRPr="005B520E">
        <w:t>Identify</w:t>
      </w:r>
      <w:r>
        <w:t xml:space="preserve"> the Headings</w:t>
      </w:r>
    </w:p>
    <w:p w14:paraId="336ADECF"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25F2857D"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63F7E187"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793DF12" w14:textId="77777777" w:rsidR="009303D9" w:rsidRDefault="009303D9" w:rsidP="00ED0149">
      <w:pPr>
        <w:pStyle w:val="2"/>
      </w:pPr>
      <w:r>
        <w:t>Figures and Tables</w:t>
      </w:r>
    </w:p>
    <w:p w14:paraId="3EE18603"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CDEFE13"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2F413AC4" w14:textId="77777777">
        <w:trPr>
          <w:cantSplit/>
          <w:trHeight w:val="240"/>
          <w:tblHeader/>
          <w:jc w:val="center"/>
        </w:trPr>
        <w:tc>
          <w:tcPr>
            <w:tcW w:w="36pt" w:type="dxa"/>
            <w:vMerge w:val="restart"/>
            <w:vAlign w:val="center"/>
          </w:tcPr>
          <w:p w14:paraId="41C608B4" w14:textId="77777777" w:rsidR="009303D9" w:rsidRDefault="009303D9">
            <w:pPr>
              <w:pStyle w:val="tablecolhead"/>
            </w:pPr>
            <w:r>
              <w:t>Table Head</w:t>
            </w:r>
          </w:p>
        </w:tc>
        <w:tc>
          <w:tcPr>
            <w:tcW w:w="207pt" w:type="dxa"/>
            <w:gridSpan w:val="3"/>
            <w:vAlign w:val="center"/>
          </w:tcPr>
          <w:p w14:paraId="6548A726" w14:textId="77777777" w:rsidR="009303D9" w:rsidRDefault="009303D9">
            <w:pPr>
              <w:pStyle w:val="tablecolhead"/>
            </w:pPr>
            <w:r>
              <w:t>Table Column Head</w:t>
            </w:r>
          </w:p>
        </w:tc>
      </w:tr>
      <w:tr w:rsidR="009303D9" w14:paraId="17FB179E" w14:textId="77777777">
        <w:trPr>
          <w:cantSplit/>
          <w:trHeight w:val="240"/>
          <w:tblHeader/>
          <w:jc w:val="center"/>
        </w:trPr>
        <w:tc>
          <w:tcPr>
            <w:tcW w:w="36pt" w:type="dxa"/>
            <w:vMerge/>
          </w:tcPr>
          <w:p w14:paraId="7478427F" w14:textId="77777777" w:rsidR="009303D9" w:rsidRDefault="009303D9">
            <w:pPr>
              <w:rPr>
                <w:sz w:val="16"/>
                <w:szCs w:val="16"/>
              </w:rPr>
            </w:pPr>
          </w:p>
        </w:tc>
        <w:tc>
          <w:tcPr>
            <w:tcW w:w="117pt" w:type="dxa"/>
            <w:vAlign w:val="center"/>
          </w:tcPr>
          <w:p w14:paraId="449C0569" w14:textId="77777777" w:rsidR="009303D9" w:rsidRDefault="009303D9">
            <w:pPr>
              <w:pStyle w:val="tablecolsubhead"/>
            </w:pPr>
            <w:r>
              <w:t>Table column subhead</w:t>
            </w:r>
          </w:p>
        </w:tc>
        <w:tc>
          <w:tcPr>
            <w:tcW w:w="45pt" w:type="dxa"/>
            <w:vAlign w:val="center"/>
          </w:tcPr>
          <w:p w14:paraId="30886FFA" w14:textId="77777777" w:rsidR="009303D9" w:rsidRDefault="009303D9">
            <w:pPr>
              <w:pStyle w:val="tablecolsubhead"/>
            </w:pPr>
            <w:r>
              <w:t>Subhead</w:t>
            </w:r>
          </w:p>
        </w:tc>
        <w:tc>
          <w:tcPr>
            <w:tcW w:w="45pt" w:type="dxa"/>
            <w:vAlign w:val="center"/>
          </w:tcPr>
          <w:p w14:paraId="7D3C93B2" w14:textId="77777777" w:rsidR="009303D9" w:rsidRDefault="009303D9">
            <w:pPr>
              <w:pStyle w:val="tablecolsubhead"/>
            </w:pPr>
            <w:r>
              <w:t>Subhead</w:t>
            </w:r>
          </w:p>
        </w:tc>
      </w:tr>
      <w:tr w:rsidR="009303D9" w14:paraId="7CE24A37" w14:textId="77777777">
        <w:trPr>
          <w:trHeight w:val="320"/>
          <w:jc w:val="center"/>
        </w:trPr>
        <w:tc>
          <w:tcPr>
            <w:tcW w:w="36pt" w:type="dxa"/>
            <w:vAlign w:val="center"/>
          </w:tcPr>
          <w:p w14:paraId="16C5B6EF" w14:textId="77777777" w:rsidR="009303D9" w:rsidRDefault="009303D9">
            <w:pPr>
              <w:pStyle w:val="tablecopy"/>
              <w:rPr>
                <w:sz w:val="8"/>
                <w:szCs w:val="8"/>
              </w:rPr>
            </w:pPr>
            <w:r>
              <w:t>copy</w:t>
            </w:r>
          </w:p>
        </w:tc>
        <w:tc>
          <w:tcPr>
            <w:tcW w:w="117pt" w:type="dxa"/>
            <w:vAlign w:val="center"/>
          </w:tcPr>
          <w:p w14:paraId="3A079A95" w14:textId="77777777" w:rsidR="009303D9" w:rsidRDefault="009303D9">
            <w:pPr>
              <w:pStyle w:val="tablecopy"/>
            </w:pPr>
            <w:r>
              <w:t>More table copy</w:t>
            </w:r>
            <w:r>
              <w:rPr>
                <w:vertAlign w:val="superscript"/>
              </w:rPr>
              <w:t>a</w:t>
            </w:r>
          </w:p>
        </w:tc>
        <w:tc>
          <w:tcPr>
            <w:tcW w:w="45pt" w:type="dxa"/>
            <w:vAlign w:val="center"/>
          </w:tcPr>
          <w:p w14:paraId="50C222F7" w14:textId="77777777" w:rsidR="009303D9" w:rsidRDefault="009303D9">
            <w:pPr>
              <w:rPr>
                <w:sz w:val="16"/>
                <w:szCs w:val="16"/>
              </w:rPr>
            </w:pPr>
          </w:p>
        </w:tc>
        <w:tc>
          <w:tcPr>
            <w:tcW w:w="45pt" w:type="dxa"/>
            <w:vAlign w:val="center"/>
          </w:tcPr>
          <w:p w14:paraId="42C43998" w14:textId="77777777" w:rsidR="009303D9" w:rsidRDefault="009303D9">
            <w:pPr>
              <w:rPr>
                <w:sz w:val="16"/>
                <w:szCs w:val="16"/>
              </w:rPr>
            </w:pPr>
          </w:p>
        </w:tc>
      </w:tr>
    </w:tbl>
    <w:p w14:paraId="1046238F"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6DCED6ED"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31821DB"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3FD7ADCB"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5033196A" w14:textId="77777777" w:rsidR="00575BCA" w:rsidRDefault="0080791D" w:rsidP="00836367">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5362DB16" w14:textId="77777777" w:rsidR="009303D9" w:rsidRDefault="009303D9" w:rsidP="00A059B3">
      <w:pPr>
        <w:pStyle w:val="5"/>
      </w:pPr>
      <w:r w:rsidRPr="005B520E">
        <w:t>References</w:t>
      </w:r>
    </w:p>
    <w:p w14:paraId="127BC432"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122668A"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0FC494B4"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03896555" w14:textId="77777777" w:rsidR="009303D9" w:rsidRPr="005B520E" w:rsidRDefault="009303D9" w:rsidP="00E7596C">
      <w:pPr>
        <w:pStyle w:val="a3"/>
      </w:pPr>
      <w:r w:rsidRPr="005B520E">
        <w:lastRenderedPageBreak/>
        <w:t xml:space="preserve">For </w:t>
      </w:r>
      <w:r w:rsidRPr="00C919A4">
        <w:t>papers</w:t>
      </w:r>
      <w:r w:rsidRPr="005B520E">
        <w:t xml:space="preserve"> published in translation journals, please give the English citation first, followed by the original foreign-language citation [6].</w:t>
      </w:r>
    </w:p>
    <w:p w14:paraId="49011A3C" w14:textId="77777777" w:rsidR="009303D9" w:rsidRPr="005B520E" w:rsidRDefault="009303D9"/>
    <w:p w14:paraId="59CBABA5" w14:textId="244991C7" w:rsidR="001E5FF0" w:rsidRPr="001E5FF0" w:rsidRDefault="001E5FF0" w:rsidP="001E5FF0">
      <w:pPr>
        <w:pStyle w:val="references"/>
      </w:pPr>
      <w:r w:rsidRPr="001E5FF0">
        <w:t xml:space="preserve">S. Moradi, N. Qiao, F. Stefanini, and G. Indiveri, “A Scalable Multicore Architecture With Heterogeneous Memory Structures for Dynamic Neuromorphic Asynchronous Processors (DYNAPs),” </w:t>
      </w:r>
      <w:r w:rsidRPr="001E5FF0">
        <w:rPr>
          <w:i/>
          <w:iCs/>
        </w:rPr>
        <w:t>IEEE Transactions on Biomedical Circuits and Systems</w:t>
      </w:r>
      <w:r w:rsidRPr="001E5FF0">
        <w:t>, vol. 12, no. 1, pp. 106–122, Feb. 2018, doi: 10.1109/TBCAS.2017.2759700.</w:t>
      </w:r>
    </w:p>
    <w:p w14:paraId="7584B985" w14:textId="1AAA13B8" w:rsidR="001E5FF0" w:rsidRPr="001E5FF0" w:rsidRDefault="001E5FF0" w:rsidP="001E5FF0">
      <w:pPr>
        <w:pStyle w:val="references"/>
      </w:pPr>
      <w:r w:rsidRPr="001E5FF0">
        <w:t xml:space="preserve">Z. Su, A. Bencsik, G. Indiveri, and D. Bertozzi, “An Efficient Multicast Addressing Encoding Scheme for Multi-Core Neuromorphic Processors,” in </w:t>
      </w:r>
      <w:r w:rsidRPr="001E5FF0">
        <w:rPr>
          <w:i/>
          <w:iCs/>
        </w:rPr>
        <w:t>Proc. IEEE International Symposium on Circuits and Systems (ISCAS)</w:t>
      </w:r>
      <w:r w:rsidRPr="001E5FF0">
        <w:t>, 2025, doi: 10.1109/ISCAS56072.2025.11043591.</w:t>
      </w:r>
    </w:p>
    <w:p w14:paraId="7FCE28AF" w14:textId="7E2A4A91" w:rsidR="001E5FF0" w:rsidRPr="001E5FF0" w:rsidRDefault="001E5FF0" w:rsidP="001E5FF0">
      <w:pPr>
        <w:pStyle w:val="references"/>
      </w:pPr>
      <w:r w:rsidRPr="001E5FF0">
        <w:t xml:space="preserve">P. Merolla, J. Arthur, R. Alvarez-Icaza, J.-M. Bussat, and K. Boahen, “A Multicast Tree Router for Multichip Neuromorphic Systems,” </w:t>
      </w:r>
      <w:r w:rsidRPr="001E5FF0">
        <w:rPr>
          <w:i/>
          <w:iCs/>
        </w:rPr>
        <w:t>IEEE Transactions on Circuits and Systems I: Regular Papers</w:t>
      </w:r>
      <w:r w:rsidRPr="001E5FF0">
        <w:t>, vol. 61, no. 3, pp. 820–833, Mar. 2014, doi: 10.1109/TCSI.2013.2284184.</w:t>
      </w:r>
    </w:p>
    <w:p w14:paraId="22FBCE11" w14:textId="6C40DEAC" w:rsidR="001E5FF0" w:rsidRPr="001E5FF0" w:rsidRDefault="001E5FF0" w:rsidP="001E5FF0">
      <w:pPr>
        <w:pStyle w:val="references"/>
      </w:pPr>
      <w:r w:rsidRPr="001E5FF0">
        <w:t xml:space="preserve"> M. Davies </w:t>
      </w:r>
      <w:r w:rsidRPr="001E5FF0">
        <w:rPr>
          <w:i/>
          <w:iCs/>
        </w:rPr>
        <w:t>et al.</w:t>
      </w:r>
      <w:r w:rsidRPr="001E5FF0">
        <w:t xml:space="preserve">, “Loihi: A Neuromorphic Manycore Processor with On-Chip Learning,” </w:t>
      </w:r>
      <w:r w:rsidRPr="001E5FF0">
        <w:rPr>
          <w:i/>
          <w:iCs/>
        </w:rPr>
        <w:t>IEEE Micro</w:t>
      </w:r>
      <w:r w:rsidRPr="001E5FF0">
        <w:t>, vol. 38, no. 1, pp. 82–99, Jan./Feb. 2018, doi: 10.1109/MM.2018.112130359.</w:t>
      </w:r>
    </w:p>
    <w:p w14:paraId="311D2BD5" w14:textId="3B402200" w:rsidR="001E5FF0" w:rsidRPr="001E5FF0" w:rsidRDefault="001E5FF0" w:rsidP="001E5FF0">
      <w:pPr>
        <w:pStyle w:val="references"/>
      </w:pPr>
      <w:r w:rsidRPr="001E5FF0">
        <w:t xml:space="preserve">N. Enright Jerger, L.-S. Peh, and M. H. Lipasti, “Virtual Circuit Tree Multicasting: A Case for On-Chip Hardware Multicast Support,” in </w:t>
      </w:r>
      <w:r w:rsidRPr="001E5FF0">
        <w:rPr>
          <w:i/>
          <w:iCs/>
        </w:rPr>
        <w:t>Proc. 35th Annual International Symposium on Computer Architecture (ISCA)</w:t>
      </w:r>
      <w:r w:rsidRPr="001E5FF0">
        <w:t>, 2008, pp. 229–240, doi: 10.1109/ISCA.2008.12.</w:t>
      </w:r>
    </w:p>
    <w:p w14:paraId="4727530F" w14:textId="13CB7871" w:rsidR="001E5FF0" w:rsidRPr="001E5FF0" w:rsidRDefault="001E5FF0" w:rsidP="001E5FF0">
      <w:pPr>
        <w:pStyle w:val="references"/>
      </w:pPr>
      <w:r w:rsidRPr="001E5FF0">
        <w:t xml:space="preserve">K. Bhardwaj and S. M. Nowick, “A Continuous-Time Replication Strategy for Efficient Multicast in Asynchronous NoCs,” </w:t>
      </w:r>
      <w:r w:rsidRPr="001E5FF0">
        <w:rPr>
          <w:i/>
          <w:iCs/>
        </w:rPr>
        <w:t>IEEE Transactions on Very Large Scale Integration (VLSI) Systems</w:t>
      </w:r>
      <w:r w:rsidRPr="001E5FF0">
        <w:t>, vol. 27, no. 2, pp. 350–363, Feb. 2019, doi: 10.1109/TVLSI.2018.2876856.</w:t>
      </w:r>
    </w:p>
    <w:p w14:paraId="4AAA47A2" w14:textId="18136B3A" w:rsidR="001E5FF0" w:rsidRPr="001E5FF0" w:rsidRDefault="001E5FF0" w:rsidP="001E5FF0">
      <w:pPr>
        <w:pStyle w:val="references"/>
      </w:pPr>
      <w:r w:rsidRPr="001E5FF0">
        <w:t xml:space="preserve">S. M. Nowick and M. Singh, “Asynchronous Design—Part 1: Overview and Recent Advances,” </w:t>
      </w:r>
      <w:r w:rsidRPr="001E5FF0">
        <w:rPr>
          <w:i/>
          <w:iCs/>
        </w:rPr>
        <w:t>IEEE Design &amp; Test</w:t>
      </w:r>
      <w:r w:rsidRPr="001E5FF0">
        <w:t>, vol. 32, no. 3, pp. 5–18, May/Jun. 2015, doi: 10.1109/MDAT.2015.2413759.</w:t>
      </w:r>
    </w:p>
    <w:p w14:paraId="018ADBE3" w14:textId="48E77BEF" w:rsidR="001E5FF0" w:rsidRPr="001E5FF0" w:rsidRDefault="001E5FF0" w:rsidP="001E5FF0">
      <w:pPr>
        <w:pStyle w:val="references"/>
      </w:pPr>
      <w:r w:rsidRPr="001E5FF0">
        <w:t xml:space="preserve">D. Bertozzi, G. Miorandi, A. Ghiribaldi, W. Burleson, G. Sadowski, K. Bhardwaj, W. Jiang, and S. M. Nowick, “Cost-Effective and Flexible Asynchronous Interconnect Technology for GALS Systems,” </w:t>
      </w:r>
      <w:r w:rsidRPr="001E5FF0">
        <w:rPr>
          <w:i/>
          <w:iCs/>
        </w:rPr>
        <w:t>IEEE Micro</w:t>
      </w:r>
      <w:r w:rsidRPr="001E5FF0">
        <w:t>, vol. 41, no. 1, pp. 69–81, Jan./Feb. 2021, doi: 10.1109/MM.2020.3002790.</w:t>
      </w:r>
    </w:p>
    <w:p w14:paraId="47223243" w14:textId="34A54E19" w:rsidR="001E5FF0" w:rsidRPr="001E5FF0" w:rsidRDefault="001E5FF0" w:rsidP="001E5FF0">
      <w:pPr>
        <w:pStyle w:val="references"/>
      </w:pPr>
      <w:r w:rsidRPr="001E5FF0">
        <w:t xml:space="preserve">W. J. Dally and B. Towles, </w:t>
      </w:r>
      <w:r w:rsidRPr="001E5FF0">
        <w:rPr>
          <w:i/>
          <w:iCs/>
        </w:rPr>
        <w:t>Principles and Practices of Interconnection Networks</w:t>
      </w:r>
      <w:r w:rsidRPr="001E5FF0">
        <w:t>. San Francisco, CA, USA: Morgan Kaufmann, 2004.</w:t>
      </w:r>
    </w:p>
    <w:p w14:paraId="05EF00EC" w14:textId="3055BE18" w:rsidR="001E5FF0" w:rsidRPr="001E5FF0" w:rsidRDefault="001E5FF0" w:rsidP="001E5FF0">
      <w:pPr>
        <w:pStyle w:val="references"/>
      </w:pPr>
      <w:r w:rsidRPr="001E5FF0">
        <w:t xml:space="preserve">P. A. Merolla </w:t>
      </w:r>
      <w:r w:rsidRPr="001E5FF0">
        <w:rPr>
          <w:i/>
          <w:iCs/>
        </w:rPr>
        <w:t>et al.</w:t>
      </w:r>
      <w:r w:rsidRPr="001E5FF0">
        <w:t xml:space="preserve">, “A Million Spiking-Neuron Integrated Circuit with a Scalable Communication Network and Interface,” </w:t>
      </w:r>
      <w:r w:rsidRPr="001E5FF0">
        <w:rPr>
          <w:i/>
          <w:iCs/>
        </w:rPr>
        <w:t>Science</w:t>
      </w:r>
      <w:r w:rsidRPr="001E5FF0">
        <w:t>, vol. 345, no. 6197, pp. 668–673, Aug. 2014, doi: 10.1126/science.1254642.</w:t>
      </w:r>
    </w:p>
    <w:p w14:paraId="3D030EBD" w14:textId="54934FAC" w:rsidR="001E5FF0" w:rsidRPr="001E5FF0" w:rsidRDefault="001E5FF0" w:rsidP="001E5FF0">
      <w:pPr>
        <w:pStyle w:val="references"/>
      </w:pPr>
      <w:r w:rsidRPr="001E5FF0">
        <w:t>Intel Labs, “Taking Neuromorphic Computing to the Next Level with Loihi 2,” Intel Labs Technology Brief, 2021.</w:t>
      </w:r>
    </w:p>
    <w:p w14:paraId="39593A8F" w14:textId="68DE9D9F" w:rsidR="001E5FF0" w:rsidRPr="001E5FF0" w:rsidRDefault="001E5FF0" w:rsidP="001E5FF0">
      <w:pPr>
        <w:pStyle w:val="references"/>
      </w:pPr>
      <w:r w:rsidRPr="001E5FF0">
        <w:t xml:space="preserve">Intel Corporation, “Intel Builds World’s Largest Neuromorphic System to Enable More Sustainable AI,” </w:t>
      </w:r>
      <w:r w:rsidRPr="001E5FF0">
        <w:rPr>
          <w:i/>
          <w:iCs/>
        </w:rPr>
        <w:t>Intel Newsroom</w:t>
      </w:r>
      <w:r w:rsidRPr="001E5FF0">
        <w:t>, Apr. 17, 2024.</w:t>
      </w:r>
    </w:p>
    <w:p w14:paraId="2F2847E2" w14:textId="059F828A" w:rsidR="001E5FF0" w:rsidRPr="001E5FF0" w:rsidRDefault="001E5FF0" w:rsidP="001E5FF0">
      <w:pPr>
        <w:pStyle w:val="references"/>
      </w:pPr>
      <w:r w:rsidRPr="001E5FF0">
        <w:t xml:space="preserve">Y. Zhong </w:t>
      </w:r>
      <w:r w:rsidRPr="001E5FF0">
        <w:rPr>
          <w:i/>
          <w:iCs/>
        </w:rPr>
        <w:t>et al.</w:t>
      </w:r>
      <w:r w:rsidRPr="001E5FF0">
        <w:t xml:space="preserve">, “PAICORE: A 1.9-Million-Neuron 5.181-TSOPS/W Digital Neuromorphic Processor With Unified SNN-ANN and On-Chip Learning Paradigm,” </w:t>
      </w:r>
      <w:r w:rsidRPr="001E5FF0">
        <w:rPr>
          <w:i/>
          <w:iCs/>
        </w:rPr>
        <w:t>IEEE Journal of Solid-State Circuits</w:t>
      </w:r>
      <w:r w:rsidRPr="001E5FF0">
        <w:t>, vol. 60, no. 2, pp. 651–671, Feb. 2025, doi: 10.1109/JSSC.2024.3426319.</w:t>
      </w:r>
    </w:p>
    <w:p w14:paraId="5F0F3FDC" w14:textId="77777777" w:rsidR="009303D9" w:rsidRDefault="009303D9" w:rsidP="00836367">
      <w:pPr>
        <w:pStyle w:val="references"/>
        <w:numPr>
          <w:ilvl w:val="0"/>
          <w:numId w:val="0"/>
        </w:numPr>
        <w:ind w:start="18pt" w:hanging="18pt"/>
      </w:pPr>
    </w:p>
    <w:p w14:paraId="6711C4F1" w14:textId="77777777"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2FBD5294" w14:textId="77777777" w:rsidR="009303D9" w:rsidRDefault="003B2B40" w:rsidP="005B520E">
      <w:r>
        <w:rPr>
          <w:noProof/>
        </w:rPr>
        <w:drawing>
          <wp:anchor distT="0" distB="0" distL="114300" distR="114300" simplePos="0" relativeHeight="251657728" behindDoc="1" locked="0" layoutInCell="1" allowOverlap="1" wp14:anchorId="0D15C95E" wp14:editId="17DAC736">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609B6A9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4554535B" w14:textId="77777777"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909CEF9" w14:textId="77777777" w:rsidR="00EE0A4C" w:rsidRDefault="00EE0A4C" w:rsidP="001A3B3D">
      <w:r>
        <w:separator/>
      </w:r>
    </w:p>
  </w:endnote>
  <w:endnote w:type="continuationSeparator" w:id="0">
    <w:p w14:paraId="58E2B7EC" w14:textId="77777777" w:rsidR="00EE0A4C" w:rsidRDefault="00EE0A4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w:altName w:val="DengXian"/>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4175E12" w14:textId="77777777"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1D2E3F6" w14:textId="77777777" w:rsidR="00EE0A4C" w:rsidRDefault="00EE0A4C" w:rsidP="001A3B3D">
      <w:r>
        <w:separator/>
      </w:r>
    </w:p>
  </w:footnote>
  <w:footnote w:type="continuationSeparator" w:id="0">
    <w:p w14:paraId="097104D4" w14:textId="77777777" w:rsidR="00EE0A4C" w:rsidRDefault="00EE0A4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494884087">
    <w:abstractNumId w:val="14"/>
  </w:num>
  <w:num w:numId="2" w16cid:durableId="1448812936">
    <w:abstractNumId w:val="19"/>
  </w:num>
  <w:num w:numId="3" w16cid:durableId="825049764">
    <w:abstractNumId w:val="13"/>
  </w:num>
  <w:num w:numId="4" w16cid:durableId="692846868">
    <w:abstractNumId w:val="16"/>
  </w:num>
  <w:num w:numId="5" w16cid:durableId="1840147049">
    <w:abstractNumId w:val="16"/>
  </w:num>
  <w:num w:numId="6" w16cid:durableId="921794076">
    <w:abstractNumId w:val="16"/>
  </w:num>
  <w:num w:numId="7" w16cid:durableId="1555657263">
    <w:abstractNumId w:val="16"/>
  </w:num>
  <w:num w:numId="8" w16cid:durableId="806822304">
    <w:abstractNumId w:val="18"/>
  </w:num>
  <w:num w:numId="9" w16cid:durableId="1491672074">
    <w:abstractNumId w:val="20"/>
  </w:num>
  <w:num w:numId="10" w16cid:durableId="181210210">
    <w:abstractNumId w:val="15"/>
  </w:num>
  <w:num w:numId="11" w16cid:durableId="256643598">
    <w:abstractNumId w:val="12"/>
  </w:num>
  <w:num w:numId="12" w16cid:durableId="602540639">
    <w:abstractNumId w:val="11"/>
  </w:num>
  <w:num w:numId="13" w16cid:durableId="797333068">
    <w:abstractNumId w:val="0"/>
  </w:num>
  <w:num w:numId="14" w16cid:durableId="291374885">
    <w:abstractNumId w:val="10"/>
  </w:num>
  <w:num w:numId="15" w16cid:durableId="173306716">
    <w:abstractNumId w:val="8"/>
  </w:num>
  <w:num w:numId="16" w16cid:durableId="384526391">
    <w:abstractNumId w:val="7"/>
  </w:num>
  <w:num w:numId="17" w16cid:durableId="1794009021">
    <w:abstractNumId w:val="6"/>
  </w:num>
  <w:num w:numId="18" w16cid:durableId="544100202">
    <w:abstractNumId w:val="5"/>
  </w:num>
  <w:num w:numId="19" w16cid:durableId="1250772546">
    <w:abstractNumId w:val="9"/>
  </w:num>
  <w:num w:numId="20" w16cid:durableId="1866864038">
    <w:abstractNumId w:val="4"/>
  </w:num>
  <w:num w:numId="21" w16cid:durableId="224147195">
    <w:abstractNumId w:val="3"/>
  </w:num>
  <w:num w:numId="22" w16cid:durableId="676032206">
    <w:abstractNumId w:val="2"/>
  </w:num>
  <w:num w:numId="23" w16cid:durableId="43650921">
    <w:abstractNumId w:val="1"/>
  </w:num>
  <w:num w:numId="24" w16cid:durableId="199795120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autoHyphenation/>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3E4C"/>
    <w:rsid w:val="00060A88"/>
    <w:rsid w:val="0008758A"/>
    <w:rsid w:val="00091475"/>
    <w:rsid w:val="000B11A6"/>
    <w:rsid w:val="000C1E68"/>
    <w:rsid w:val="000D47B6"/>
    <w:rsid w:val="00117FC8"/>
    <w:rsid w:val="00170FCE"/>
    <w:rsid w:val="001A2EFD"/>
    <w:rsid w:val="001A3B3D"/>
    <w:rsid w:val="001B67DC"/>
    <w:rsid w:val="001B78C5"/>
    <w:rsid w:val="001C1B78"/>
    <w:rsid w:val="001C42CB"/>
    <w:rsid w:val="001E5FF0"/>
    <w:rsid w:val="00212214"/>
    <w:rsid w:val="002254A9"/>
    <w:rsid w:val="00233D97"/>
    <w:rsid w:val="002347A2"/>
    <w:rsid w:val="00255F5E"/>
    <w:rsid w:val="002850E3"/>
    <w:rsid w:val="00287D4A"/>
    <w:rsid w:val="002C2859"/>
    <w:rsid w:val="002D0D7C"/>
    <w:rsid w:val="003220ED"/>
    <w:rsid w:val="00323AD6"/>
    <w:rsid w:val="0033320D"/>
    <w:rsid w:val="00336151"/>
    <w:rsid w:val="003516EC"/>
    <w:rsid w:val="00354FCF"/>
    <w:rsid w:val="00391A84"/>
    <w:rsid w:val="003A19E2"/>
    <w:rsid w:val="003B0A81"/>
    <w:rsid w:val="003B22BD"/>
    <w:rsid w:val="003B2B40"/>
    <w:rsid w:val="003B4E04"/>
    <w:rsid w:val="003D6D65"/>
    <w:rsid w:val="003F5A08"/>
    <w:rsid w:val="00420716"/>
    <w:rsid w:val="00423C5F"/>
    <w:rsid w:val="004325FB"/>
    <w:rsid w:val="0043656C"/>
    <w:rsid w:val="00436EEB"/>
    <w:rsid w:val="004432BA"/>
    <w:rsid w:val="0044407E"/>
    <w:rsid w:val="00447BB9"/>
    <w:rsid w:val="00451ECE"/>
    <w:rsid w:val="0046031D"/>
    <w:rsid w:val="00470023"/>
    <w:rsid w:val="004710EB"/>
    <w:rsid w:val="00473AC9"/>
    <w:rsid w:val="004D72B5"/>
    <w:rsid w:val="004E6053"/>
    <w:rsid w:val="00502786"/>
    <w:rsid w:val="00505425"/>
    <w:rsid w:val="005165C5"/>
    <w:rsid w:val="00551B7F"/>
    <w:rsid w:val="005630BA"/>
    <w:rsid w:val="005656F8"/>
    <w:rsid w:val="0056610F"/>
    <w:rsid w:val="00572C0E"/>
    <w:rsid w:val="00575BCA"/>
    <w:rsid w:val="005B0344"/>
    <w:rsid w:val="005B520E"/>
    <w:rsid w:val="005E1E9F"/>
    <w:rsid w:val="005E2800"/>
    <w:rsid w:val="005F0E0B"/>
    <w:rsid w:val="00605825"/>
    <w:rsid w:val="00643F1A"/>
    <w:rsid w:val="00645D22"/>
    <w:rsid w:val="00651A08"/>
    <w:rsid w:val="00654204"/>
    <w:rsid w:val="0066458D"/>
    <w:rsid w:val="00670434"/>
    <w:rsid w:val="00670ABD"/>
    <w:rsid w:val="00677054"/>
    <w:rsid w:val="006B12F7"/>
    <w:rsid w:val="006B5C35"/>
    <w:rsid w:val="006B6B66"/>
    <w:rsid w:val="006B741D"/>
    <w:rsid w:val="006D10F2"/>
    <w:rsid w:val="006E6BCA"/>
    <w:rsid w:val="006F23D6"/>
    <w:rsid w:val="006F6D3D"/>
    <w:rsid w:val="00712977"/>
    <w:rsid w:val="007140CD"/>
    <w:rsid w:val="00715BEA"/>
    <w:rsid w:val="00720B4A"/>
    <w:rsid w:val="00740EEA"/>
    <w:rsid w:val="00767138"/>
    <w:rsid w:val="00770F52"/>
    <w:rsid w:val="0077318F"/>
    <w:rsid w:val="00783D5F"/>
    <w:rsid w:val="00791B26"/>
    <w:rsid w:val="00794804"/>
    <w:rsid w:val="007B33F1"/>
    <w:rsid w:val="007B6DDA"/>
    <w:rsid w:val="007C0308"/>
    <w:rsid w:val="007C2FF2"/>
    <w:rsid w:val="007C4664"/>
    <w:rsid w:val="007D6232"/>
    <w:rsid w:val="007E1D24"/>
    <w:rsid w:val="007F1F99"/>
    <w:rsid w:val="007F6079"/>
    <w:rsid w:val="007F768F"/>
    <w:rsid w:val="00800BE4"/>
    <w:rsid w:val="008059F1"/>
    <w:rsid w:val="0080791D"/>
    <w:rsid w:val="00836367"/>
    <w:rsid w:val="0086578A"/>
    <w:rsid w:val="00873603"/>
    <w:rsid w:val="008A2C7D"/>
    <w:rsid w:val="008B6524"/>
    <w:rsid w:val="008C2768"/>
    <w:rsid w:val="008C4B23"/>
    <w:rsid w:val="008E06DF"/>
    <w:rsid w:val="008E133B"/>
    <w:rsid w:val="008F6E2C"/>
    <w:rsid w:val="00926EB0"/>
    <w:rsid w:val="009303D9"/>
    <w:rsid w:val="009323ED"/>
    <w:rsid w:val="00933C64"/>
    <w:rsid w:val="00937CE9"/>
    <w:rsid w:val="009441F9"/>
    <w:rsid w:val="0095407C"/>
    <w:rsid w:val="00972203"/>
    <w:rsid w:val="009D19C0"/>
    <w:rsid w:val="009F1D79"/>
    <w:rsid w:val="009F67D9"/>
    <w:rsid w:val="00A059B3"/>
    <w:rsid w:val="00A25831"/>
    <w:rsid w:val="00A26DC7"/>
    <w:rsid w:val="00A31E7E"/>
    <w:rsid w:val="00A44E8D"/>
    <w:rsid w:val="00A454C9"/>
    <w:rsid w:val="00A526B7"/>
    <w:rsid w:val="00A54150"/>
    <w:rsid w:val="00A54C71"/>
    <w:rsid w:val="00A86095"/>
    <w:rsid w:val="00A86537"/>
    <w:rsid w:val="00AA448F"/>
    <w:rsid w:val="00AE3409"/>
    <w:rsid w:val="00B05E64"/>
    <w:rsid w:val="00B11A60"/>
    <w:rsid w:val="00B16AED"/>
    <w:rsid w:val="00B22613"/>
    <w:rsid w:val="00B35704"/>
    <w:rsid w:val="00B44A76"/>
    <w:rsid w:val="00B53E6A"/>
    <w:rsid w:val="00B768D1"/>
    <w:rsid w:val="00BA1025"/>
    <w:rsid w:val="00BB5678"/>
    <w:rsid w:val="00BC0129"/>
    <w:rsid w:val="00BC3420"/>
    <w:rsid w:val="00BC7E0E"/>
    <w:rsid w:val="00BD670B"/>
    <w:rsid w:val="00BE7D3C"/>
    <w:rsid w:val="00BF5FF6"/>
    <w:rsid w:val="00C0207F"/>
    <w:rsid w:val="00C16117"/>
    <w:rsid w:val="00C21520"/>
    <w:rsid w:val="00C3075A"/>
    <w:rsid w:val="00C55E4D"/>
    <w:rsid w:val="00C70AFA"/>
    <w:rsid w:val="00C87415"/>
    <w:rsid w:val="00C919A4"/>
    <w:rsid w:val="00C94C01"/>
    <w:rsid w:val="00CA4392"/>
    <w:rsid w:val="00CC393F"/>
    <w:rsid w:val="00CD2F7F"/>
    <w:rsid w:val="00D2176E"/>
    <w:rsid w:val="00D21837"/>
    <w:rsid w:val="00D357F3"/>
    <w:rsid w:val="00D436E6"/>
    <w:rsid w:val="00D6072E"/>
    <w:rsid w:val="00D632BE"/>
    <w:rsid w:val="00D719E4"/>
    <w:rsid w:val="00D72D06"/>
    <w:rsid w:val="00D7397B"/>
    <w:rsid w:val="00D7522C"/>
    <w:rsid w:val="00D7536F"/>
    <w:rsid w:val="00D76668"/>
    <w:rsid w:val="00D85A13"/>
    <w:rsid w:val="00DD78DD"/>
    <w:rsid w:val="00DF1729"/>
    <w:rsid w:val="00E07383"/>
    <w:rsid w:val="00E165BC"/>
    <w:rsid w:val="00E21B6C"/>
    <w:rsid w:val="00E61E12"/>
    <w:rsid w:val="00E625D4"/>
    <w:rsid w:val="00E7596C"/>
    <w:rsid w:val="00E878F2"/>
    <w:rsid w:val="00EB6324"/>
    <w:rsid w:val="00ED0149"/>
    <w:rsid w:val="00ED13DB"/>
    <w:rsid w:val="00ED2F20"/>
    <w:rsid w:val="00EE0A4C"/>
    <w:rsid w:val="00EE17D7"/>
    <w:rsid w:val="00EE56F1"/>
    <w:rsid w:val="00EF71D9"/>
    <w:rsid w:val="00EF7DE3"/>
    <w:rsid w:val="00F03103"/>
    <w:rsid w:val="00F271DE"/>
    <w:rsid w:val="00F36B6A"/>
    <w:rsid w:val="00F47BDC"/>
    <w:rsid w:val="00F611AE"/>
    <w:rsid w:val="00F627DA"/>
    <w:rsid w:val="00F7288F"/>
    <w:rsid w:val="00F847A6"/>
    <w:rsid w:val="00F86419"/>
    <w:rsid w:val="00F9441B"/>
    <w:rsid w:val="00FA4C32"/>
    <w:rsid w:val="00FE6793"/>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BBCB856"/>
  <w15:chartTrackingRefBased/>
  <w15:docId w15:val="{A091B658-A98B-4439-B42B-E8D43DDBF49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link w:val="20"/>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styleId="a9">
    <w:name w:val="annotation reference"/>
    <w:basedOn w:val="a0"/>
    <w:rsid w:val="00AA448F"/>
    <w:rPr>
      <w:sz w:val="21"/>
      <w:szCs w:val="21"/>
    </w:rPr>
  </w:style>
  <w:style w:type="paragraph" w:styleId="aa">
    <w:name w:val="annotation text"/>
    <w:basedOn w:val="a"/>
    <w:link w:val="ab"/>
    <w:rsid w:val="00AA448F"/>
    <w:pPr>
      <w:jc w:val="start"/>
    </w:pPr>
  </w:style>
  <w:style w:type="character" w:customStyle="1" w:styleId="ab">
    <w:name w:val="批注文字 字符"/>
    <w:basedOn w:val="a0"/>
    <w:link w:val="aa"/>
    <w:rsid w:val="00AA448F"/>
  </w:style>
  <w:style w:type="paragraph" w:styleId="ac">
    <w:name w:val="annotation subject"/>
    <w:basedOn w:val="aa"/>
    <w:next w:val="aa"/>
    <w:link w:val="ad"/>
    <w:rsid w:val="00AA448F"/>
    <w:rPr>
      <w:b/>
      <w:bCs/>
    </w:rPr>
  </w:style>
  <w:style w:type="character" w:customStyle="1" w:styleId="ad">
    <w:name w:val="批注主题 字符"/>
    <w:basedOn w:val="ab"/>
    <w:link w:val="ac"/>
    <w:rsid w:val="00AA448F"/>
    <w:rPr>
      <w:b/>
      <w:bCs/>
    </w:rPr>
  </w:style>
  <w:style w:type="character" w:customStyle="1" w:styleId="20">
    <w:name w:val="标题 2 字符"/>
    <w:basedOn w:val="a0"/>
    <w:link w:val="2"/>
    <w:rsid w:val="00770F52"/>
    <w:rPr>
      <w:i/>
      <w:iCs/>
      <w:noProof/>
    </w:rPr>
  </w:style>
  <w:style w:type="paragraph" w:styleId="ae">
    <w:name w:val="Normal (Web)"/>
    <w:basedOn w:val="a"/>
    <w:rsid w:val="00BC0129"/>
    <w:rPr>
      <w:sz w:val="24"/>
      <w:szCs w:val="24"/>
    </w:rPr>
  </w:style>
  <w:style w:type="character" w:styleId="af">
    <w:name w:val="Placeholder Text"/>
    <w:basedOn w:val="a0"/>
    <w:uiPriority w:val="99"/>
    <w:semiHidden/>
    <w:rsid w:val="00D21837"/>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886783A-7790-9B4E-A29D-B1082E6B3F0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12593</TotalTime>
  <Pages>1</Pages>
  <Words>3962</Words>
  <Characters>23224</Characters>
  <Application>Microsoft Office Word</Application>
  <DocSecurity>0</DocSecurity>
  <Lines>540</Lines>
  <Paragraphs>118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力言 赵</cp:lastModifiedBy>
  <cp:revision>3</cp:revision>
  <dcterms:created xsi:type="dcterms:W3CDTF">2026-09-01T13:32:00Z</dcterms:created>
  <dcterms:modified xsi:type="dcterms:W3CDTF">2026-09-16T04:07:00Z</dcterms:modified>
</cp:coreProperties>
</file>