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管理层语调与企业未来经营业绩——基于 A 股上市公司年报 MD&amp;A 文本的 NLP 测度</w:t>
      </w:r>
    </w:p>
    <w:p/>
    <w:p>
      <w:pPr>
        <w:spacing w:after="120" w:line="360" w:lineRule="auto"/>
        <w:ind w:firstLine="480"/>
      </w:pPr>
      <w:r>
        <w:rPr>
          <w:rFonts w:ascii="宋体" w:hAnsi="宋体" w:eastAsia="宋体"/>
          <w:b/>
          <w:sz w:val="24"/>
        </w:rPr>
        <w:t>预演毕业论文 · NLP 测度构建方法课程作业</w:t>
      </w:r>
    </w:p>
    <w:p>
      <w:pPr>
        <w:spacing w:after="60" w:line="360" w:lineRule="auto"/>
      </w:pPr>
      <w:r>
        <w:rPr>
          <w:rFonts w:ascii="宋体" w:hAnsi="宋体" w:eastAsia="宋体"/>
          <w:b w:val="0"/>
          <w:sz w:val="24"/>
        </w:rPr>
        <w:t>- 学生姓名：（填写）</w:t>
      </w:r>
    </w:p>
    <w:p>
      <w:pPr>
        <w:spacing w:after="60" w:line="360" w:lineRule="auto"/>
      </w:pPr>
      <w:r>
        <w:rPr>
          <w:rFonts w:ascii="宋体" w:hAnsi="宋体" w:eastAsia="宋体"/>
          <w:b w:val="0"/>
          <w:sz w:val="24"/>
        </w:rPr>
        <w:t>- 指导教师：（填写）</w:t>
      </w:r>
    </w:p>
    <w:p>
      <w:pPr>
        <w:spacing w:after="60" w:line="360" w:lineRule="auto"/>
      </w:pPr>
      <w:r>
        <w:rPr>
          <w:rFonts w:ascii="宋体" w:hAnsi="宋体" w:eastAsia="宋体"/>
          <w:b w:val="0"/>
          <w:sz w:val="24"/>
        </w:rPr>
        <w:t>- 专业方向：（填写）</w:t>
      </w:r>
    </w:p>
    <w:p>
      <w:pPr>
        <w:spacing w:after="60" w:line="360" w:lineRule="auto"/>
      </w:pPr>
      <w:r>
        <w:rPr>
          <w:rFonts w:ascii="宋体" w:hAnsi="宋体" w:eastAsia="宋体"/>
          <w:b w:val="0"/>
          <w:sz w:val="24"/>
        </w:rPr>
        <w:t>- 完成日期：2026 年 10 月</w:t>
      </w:r>
    </w:p>
    <w:p>
      <w:pPr>
        <w:spacing w:after="120" w:line="360" w:lineRule="auto"/>
        <w:ind w:firstLine="480"/>
      </w:pPr>
      <w:r>
        <w:rPr>
          <w:rFonts w:ascii="宋体" w:hAnsi="宋体" w:eastAsia="宋体"/>
          <w:b w:val="0"/>
          <w:sz w:val="24"/>
        </w:rPr>
        <w:t>---</w:t>
      </w:r>
    </w:p>
    <w:p>
      <w:pPr>
        <w:spacing w:after="120" w:line="360" w:lineRule="auto"/>
        <w:ind w:firstLine="480"/>
      </w:pPr>
      <w:r>
        <w:rPr>
          <w:rFonts w:ascii="宋体" w:hAnsi="宋体" w:eastAsia="宋体"/>
          <w:b/>
          <w:sz w:val="24"/>
        </w:rPr>
        <w:t>摘要</w:t>
      </w:r>
      <w:r>
        <w:rPr>
          <w:rFonts w:ascii="宋体" w:hAnsi="宋体" w:eastAsia="宋体"/>
          <w:b w:val="0"/>
          <w:sz w:val="24"/>
        </w:rPr>
        <w:t>：年报"管理层讨论与分析"（MD&amp;A）是管理层向投资者传递前瞻性信息的主渠道，但其文本信息含量长期缺乏可复现的量化口径。本文在 NLP 测度构建方法框架下，以"管理层语调"为研究对象，回答核心问题：</w:t>
      </w:r>
      <w:r>
        <w:rPr>
          <w:rFonts w:ascii="宋体" w:hAnsi="宋体" w:eastAsia="宋体"/>
          <w:b/>
          <w:sz w:val="24"/>
        </w:rPr>
        <w:t>MD&amp;A 语调是否包含关于企业未来经营业绩的增量信息？</w:t>
      </w:r>
      <w:r>
        <w:rPr>
          <w:rFonts w:ascii="宋体" w:hAnsi="宋体" w:eastAsia="宋体"/>
          <w:b w:val="0"/>
          <w:sz w:val="24"/>
        </w:rPr>
        <w:t>本文构建三层测度：引入否定词翻转与程度副词加权的词典法净语调（TONE_dict）、TF-IDF 加逻辑回归弱监督的机器学习语调（TONE_ml）、句级语调离散度（TONE_sd）。</w:t>
      </w:r>
      <w:r>
        <w:rPr>
          <w:rFonts w:ascii="宋体" w:hAnsi="宋体" w:eastAsia="宋体"/>
          <w:b/>
          <w:sz w:val="24"/>
        </w:rPr>
        <w:t>全部语料与财务数据均为真实公开披露数据</w:t>
      </w:r>
      <w:r>
        <w:rPr>
          <w:rFonts w:ascii="宋体" w:hAnsi="宋体" w:eastAsia="宋体"/>
          <w:b w:val="0"/>
          <w:sz w:val="24"/>
        </w:rPr>
        <w:t>——年报原文取自巨潮资讯网，财务指标取自东方财富数据中心，不存在任何模拟或生成数据；唯一自建成分是情感词典（教学演示版），属测度工具而非数据。样本为 40 家非金融 A 股公司 2022—2024 财年，年报下载成功 114 份，MD&amp;A 抽取成功 112 份，匹配后得 112 个企业-年度观测、覆盖 39 家公司。信效度检验显示：分半信度经 Spearman-Brown 校正达 0.9496，词典法与机器学习法聚合效度 0.5432，已知组效度 t=3.47（p=0.0008），预测效度 r=0.3876，机器学习测度五折交叉验证 AUC 达 0.8471。实证以双向固定效应模型检验语调对下一年总资产净利率的预测力。结果支持 H1 与 H2：控制当期业绩后语调仍具增量预测力（β=0.451，t=1.82，置换 p=0.009）；H3 未获支持，过度乐观组与高杠杆组的交互项均不显著且方向与预期相反。全部测度流程由可复现代码实现，语料、结果表与图表随文公开。</w:t>
      </w:r>
    </w:p>
    <w:p>
      <w:pPr>
        <w:spacing w:after="120" w:line="360" w:lineRule="auto"/>
        <w:ind w:firstLine="480"/>
      </w:pPr>
      <w:r>
        <w:rPr>
          <w:rFonts w:ascii="宋体" w:hAnsi="宋体" w:eastAsia="宋体"/>
          <w:b/>
          <w:sz w:val="24"/>
        </w:rPr>
        <w:t>关键词</w:t>
      </w:r>
      <w:r>
        <w:rPr>
          <w:rFonts w:ascii="宋体" w:hAnsi="宋体" w:eastAsia="宋体"/>
          <w:b w:val="0"/>
          <w:sz w:val="24"/>
        </w:rPr>
        <w:t>：管理层语调；MD&amp;A；文本分析；NLP 测度；词典法；机器学习；企业业绩</w:t>
      </w:r>
    </w:p>
    <w:p>
      <w:pPr>
        <w:spacing w:before="280" w:after="160"/>
        <w:jc w:val="center"/>
      </w:pPr>
      <w:r>
        <w:rPr>
          <w:rFonts w:ascii="黑体" w:hAnsi="黑体" w:eastAsia="黑体"/>
          <w:b/>
          <w:sz w:val="32"/>
        </w:rPr>
        <w:t>目  录</w:t>
      </w:r>
    </w:p>
    <w:p>
      <w:pPr>
        <w:ind w:left="480"/>
      </w:pPr>
      <w:r>
        <w:rPr>
          <w:rFonts w:ascii="宋体" w:hAnsi="宋体" w:eastAsia="宋体"/>
          <w:b w:val="0"/>
          <w:sz w:val="24"/>
        </w:rPr>
        <w:t>1 绪论</w:t>
      </w:r>
    </w:p>
    <w:p>
      <w:pPr>
        <w:ind w:left="480"/>
      </w:pPr>
      <w:r>
        <w:rPr>
          <w:rFonts w:ascii="宋体" w:hAnsi="宋体" w:eastAsia="宋体"/>
          <w:b w:val="0"/>
          <w:sz w:val="24"/>
        </w:rPr>
        <w:t>2 测度构建与指标设计</w:t>
      </w:r>
    </w:p>
    <w:p>
      <w:pPr>
        <w:ind w:left="480"/>
      </w:pPr>
      <w:r>
        <w:rPr>
          <w:rFonts w:ascii="宋体" w:hAnsi="宋体" w:eastAsia="宋体"/>
          <w:b w:val="0"/>
          <w:sz w:val="24"/>
        </w:rPr>
        <w:t>3 数据来源与处理</w:t>
      </w:r>
    </w:p>
    <w:p>
      <w:pPr>
        <w:ind w:left="480"/>
      </w:pPr>
      <w:r>
        <w:rPr>
          <w:rFonts w:ascii="宋体" w:hAnsi="宋体" w:eastAsia="宋体"/>
          <w:b w:val="0"/>
          <w:sz w:val="24"/>
        </w:rPr>
        <w:t>4 实证方案</w:t>
      </w:r>
    </w:p>
    <w:p>
      <w:pPr>
        <w:ind w:left="480"/>
      </w:pPr>
      <w:r>
        <w:rPr>
          <w:rFonts w:ascii="宋体" w:hAnsi="宋体" w:eastAsia="宋体"/>
          <w:b w:val="0"/>
          <w:sz w:val="24"/>
        </w:rPr>
        <w:t>5 结果分析与讨论</w:t>
      </w:r>
    </w:p>
    <w:p>
      <w:pPr>
        <w:ind w:left="480"/>
      </w:pPr>
      <w:r>
        <w:rPr>
          <w:rFonts w:ascii="宋体" w:hAnsi="宋体" w:eastAsia="宋体"/>
          <w:b w:val="0"/>
          <w:sz w:val="24"/>
        </w:rPr>
        <w:t>6 结论与局限</w:t>
      </w:r>
    </w:p>
    <w:p>
      <w:pPr>
        <w:ind w:left="480"/>
      </w:pPr>
      <w:r>
        <w:rPr>
          <w:rFonts w:ascii="宋体" w:hAnsi="宋体" w:eastAsia="宋体"/>
          <w:b w:val="0"/>
          <w:sz w:val="24"/>
        </w:rPr>
        <w:t>参考文献</w:t>
      </w:r>
    </w:p>
    <w:p>
      <w:pPr>
        <w:ind w:left="480"/>
      </w:pPr>
      <w:r>
        <w:rPr>
          <w:rFonts w:ascii="宋体" w:hAnsi="宋体" w:eastAsia="宋体"/>
          <w:b w:val="0"/>
          <w:sz w:val="24"/>
        </w:rPr>
        <w:t>附录 A  图表索引与论文-文件对应关系</w:t>
      </w:r>
    </w:p>
    <w:p>
      <w:pPr>
        <w:ind w:left="480"/>
      </w:pPr>
      <w:r>
        <w:rPr>
          <w:rFonts w:ascii="宋体" w:hAnsi="宋体" w:eastAsia="宋体"/>
          <w:b w:val="0"/>
          <w:sz w:val="24"/>
        </w:rPr>
        <w:t>附录 B  复现说明</w:t>
      </w:r>
    </w:p>
    <w:p>
      <w:r>
        <w:br w:type="page"/>
      </w:r>
    </w:p>
    <w:p>
      <w:pPr>
        <w:spacing w:before="200" w:after="160"/>
      </w:pPr>
      <w:r>
        <w:rPr>
          <w:rFonts w:ascii="黑体" w:hAnsi="黑体" w:eastAsia="黑体"/>
          <w:b/>
          <w:sz w:val="28"/>
        </w:rPr>
        <w:t>1 绪论</w:t>
      </w:r>
    </w:p>
    <w:p>
      <w:pPr>
        <w:spacing w:before="200" w:after="160"/>
      </w:pPr>
      <w:r>
        <w:rPr>
          <w:rFonts w:ascii="黑体" w:hAnsi="黑体" w:eastAsia="黑体"/>
          <w:b/>
          <w:sz w:val="25"/>
        </w:rPr>
        <w:t>1.1 选题背景</w:t>
      </w:r>
    </w:p>
    <w:p>
      <w:pPr>
        <w:spacing w:after="120" w:line="360" w:lineRule="auto"/>
        <w:ind w:firstLine="480"/>
      </w:pPr>
      <w:r>
        <w:rPr>
          <w:rFonts w:ascii="宋体" w:hAnsi="宋体" w:eastAsia="宋体"/>
          <w:b w:val="0"/>
          <w:sz w:val="24"/>
        </w:rPr>
        <w:t>财务报表提供的是"已经发生"的数字，而投资者真正关心的往往是"将要发生"的经营前景。在强制性披露体系中，年报"管理层讨论与分析"（Management Discussion &amp; Analysis，下文简称 MD&amp;A）是唯一以叙述性文本为主、专门用于解释经营成果成因并展望未来风险与机会的章节。与标准化的三张报表不同，MD&amp;A 中的前瞻性陈述不受会计准则的计量约束，管理层在"报喜"与"报忧"之间存在相当大的措辞自由度：同样是收入下滑 10%，可以写成"主动调整产品结构"，也可以写成"需求疲软导致收入下降"。这种措辞差异并非无意义的修辞，而可能承载了管理层对未来的私有信息，也可能服务于印象管理。</w:t>
      </w:r>
    </w:p>
    <w:p>
      <w:pPr>
        <w:spacing w:after="120" w:line="360" w:lineRule="auto"/>
        <w:ind w:firstLine="480"/>
      </w:pPr>
      <w:r>
        <w:rPr>
          <w:rFonts w:ascii="宋体" w:hAnsi="宋体" w:eastAsia="宋体"/>
          <w:b w:val="0"/>
          <w:sz w:val="24"/>
        </w:rPr>
        <w:t>自然语言处理（NLP）与文本分析方法的成熟，使得"把语调变成变量"成为可能。自 Loughran 和 McDonald（2011）构建金融语境情感词典以来，基于词典法与机器学习法的文本情绪测度已在会计与财务研究中被广泛使用。在中文场景，姚加权等（2021）构建的中文金融情感词典、以及胡楠等（2021）对年报文本"短期主义"词频的度量，都表明中文叙述性披露同样可以被系统量化。与此同时，A 股市场以个人投资者为主、信息环境相对嘈杂，文本信息的定价效率是实证研究中有争议的问题：如果语调只是当期业绩的"复读机"，它对股价和未来业绩没有增量含义；如果语调包含私有信息，它应当能预测未来业绩；如果管理层存在系统性夸大，语调的预测力还会在高操纵动机样本中衰减。</w:t>
      </w:r>
    </w:p>
    <w:p>
      <w:pPr>
        <w:spacing w:before="200" w:after="160"/>
      </w:pPr>
      <w:r>
        <w:rPr>
          <w:rFonts w:ascii="黑体" w:hAnsi="黑体" w:eastAsia="黑体"/>
          <w:b/>
          <w:sz w:val="25"/>
        </w:rPr>
        <w:t>1.2 研究意义</w:t>
      </w:r>
    </w:p>
    <w:p>
      <w:pPr>
        <w:spacing w:after="120" w:line="360" w:lineRule="auto"/>
        <w:ind w:firstLine="480"/>
      </w:pPr>
      <w:r>
        <w:rPr>
          <w:rFonts w:ascii="宋体" w:hAnsi="宋体" w:eastAsia="宋体"/>
          <w:b w:val="0"/>
          <w:sz w:val="24"/>
        </w:rPr>
        <w:t>本研究的意义可以从三个层面说明。</w:t>
      </w:r>
      <w:r>
        <w:rPr>
          <w:rFonts w:ascii="宋体" w:hAnsi="宋体" w:eastAsia="宋体"/>
          <w:b/>
          <w:sz w:val="24"/>
        </w:rPr>
        <w:t>方法论层面</w:t>
      </w:r>
      <w:r>
        <w:rPr>
          <w:rFonts w:ascii="宋体" w:hAnsi="宋体" w:eastAsia="宋体"/>
          <w:b w:val="0"/>
          <w:sz w:val="24"/>
        </w:rPr>
        <w:t>，本文完整演练了"语料获取—文本清洗—测度构建—信度效度检验—面板回归—稳健性检验"的 NLP 测度构建五步流程，所有环节均由可复现的 Python 代码实现，测度结果以企业-年度面板形式公开。</w:t>
      </w:r>
      <w:r>
        <w:rPr>
          <w:rFonts w:ascii="宋体" w:hAnsi="宋体" w:eastAsia="宋体"/>
          <w:b/>
          <w:sz w:val="24"/>
        </w:rPr>
        <w:t>实证层面</w:t>
      </w:r>
      <w:r>
        <w:rPr>
          <w:rFonts w:ascii="宋体" w:hAnsi="宋体" w:eastAsia="宋体"/>
          <w:b w:val="0"/>
          <w:sz w:val="24"/>
        </w:rPr>
        <w:t>，本文在控制当期业绩后检验语调对未来总资产净利率的预测力，即检验语调是否包含"增量信息"而非"旧闻重复"，这比单纯报告语调与业绩的相关性更有信息量。</w:t>
      </w:r>
      <w:r>
        <w:rPr>
          <w:rFonts w:ascii="宋体" w:hAnsi="宋体" w:eastAsia="宋体"/>
          <w:b/>
          <w:sz w:val="24"/>
        </w:rPr>
        <w:t>应用层面</w:t>
      </w:r>
      <w:r>
        <w:rPr>
          <w:rFonts w:ascii="宋体" w:hAnsi="宋体" w:eastAsia="宋体"/>
          <w:b w:val="0"/>
          <w:sz w:val="24"/>
        </w:rPr>
        <w:t>，若语调确实具有预测力且其预测力在"过度乐观"样本中衰减，则监管者在评价披露质量时、投资者在处理文本信息时，都应当关注语调偏离公司基本面信息的程度，而不是语调的绝对水平。</w:t>
      </w:r>
    </w:p>
    <w:p>
      <w:pPr>
        <w:spacing w:before="200" w:after="160"/>
      </w:pPr>
      <w:r>
        <w:rPr>
          <w:rFonts w:ascii="黑体" w:hAnsi="黑体" w:eastAsia="黑体"/>
          <w:b/>
          <w:sz w:val="25"/>
        </w:rPr>
        <w:t>1.3 文献综述与研究缺口（Gap）</w:t>
      </w:r>
    </w:p>
    <w:p>
      <w:pPr>
        <w:spacing w:after="120" w:line="360" w:lineRule="auto"/>
        <w:ind w:firstLine="480"/>
      </w:pPr>
      <w:r>
        <w:rPr>
          <w:rFonts w:ascii="宋体" w:hAnsi="宋体" w:eastAsia="宋体"/>
          <w:b/>
          <w:sz w:val="24"/>
        </w:rPr>
        <w:t>（1）文本情绪测度的构建方法。</w:t>
      </w:r>
      <w:r>
        <w:rPr>
          <w:rFonts w:ascii="宋体" w:hAnsi="宋体" w:eastAsia="宋体"/>
          <w:b w:val="0"/>
          <w:sz w:val="24"/>
        </w:rPr>
        <w:t xml:space="preserve"> Loughran 和 McDonald（2011）指出通用情感词典（如 Harvard IV-4）在金融语境中误判率高，约四分之三的通用"负面词"在财务文本中是中性词（如 liability、tax），据此构建了金融专用词典，成为英文文献的事实标准。中文方面，姚加权等（2021）基于上市公司公告语料构建中文金融情感词典，胡楠等（2021）以"短期主义"词度量管理层视野。在机器学习路线上，Ke 等（2019）用神经网络刻画管理层讨论的"悲观—乐观"维度；Loughran 和 McDonald（2020）对文本分析在金融中的应用做了系统综述，指出词典法透明、可复现，机器学习法拟合能力强但可解释性与跨语料迁移性弱，两者互补而非替代。</w:t>
      </w:r>
    </w:p>
    <w:p>
      <w:pPr>
        <w:spacing w:after="120" w:line="360" w:lineRule="auto"/>
        <w:ind w:firstLine="480"/>
      </w:pPr>
      <w:r>
        <w:rPr>
          <w:rFonts w:ascii="宋体" w:hAnsi="宋体" w:eastAsia="宋体"/>
          <w:b/>
          <w:sz w:val="24"/>
        </w:rPr>
        <w:t>（2）管理层语调的经济后果。</w:t>
      </w:r>
      <w:r>
        <w:rPr>
          <w:rFonts w:ascii="宋体" w:hAnsi="宋体" w:eastAsia="宋体"/>
          <w:b w:val="0"/>
          <w:sz w:val="24"/>
        </w:rPr>
        <w:t xml:space="preserve"> Tetlock 等（2008）发现新闻与公司披露的负面语调显著预测收益与盈余；Davis 等（2012）发现年报语调影响分析师评级与投资者判断；Loughran 和 McDonald（2011）发现 10-K 语调与后续盈余意外相关。国内研究方面，曾庆生等（2018）发现年报语调比数字信息包含更多增量信息；林乐和谢德仁（2017）发现业绩说明会语调具有信息含量；张金若等、王华婷等进一步考察了语调与盈余管理的关系。总体上，"语调有信息含量"在多数市场得到支持，但语调预测力的来源（私有信息 vs 策略性夸大）仍存争议。</w:t>
      </w:r>
    </w:p>
    <w:p>
      <w:pPr>
        <w:spacing w:after="120" w:line="360" w:lineRule="auto"/>
        <w:ind w:firstLine="480"/>
      </w:pPr>
      <w:r>
        <w:rPr>
          <w:rFonts w:ascii="宋体" w:hAnsi="宋体" w:eastAsia="宋体"/>
          <w:b/>
          <w:sz w:val="24"/>
        </w:rPr>
        <w:t>（3）语调的操纵与管理层动机。</w:t>
      </w:r>
      <w:r>
        <w:rPr>
          <w:rFonts w:ascii="宋体" w:hAnsi="宋体" w:eastAsia="宋体"/>
          <w:b w:val="0"/>
          <w:sz w:val="24"/>
        </w:rPr>
        <w:t xml:space="preserve"> 管理层存在印象管理动机：Baginski 等（2012）发现管理层在预告中系统性使用模糊、乐观的措辞；Rogers 等（2011）发现过度乐观的披露语调与后续诉讼风险正相关；Demers 和 Vega（2021）将语调区分为"信息性语调"与"操纵性语调"，发现后者随经理人的股权激励与市场压力上升。胡楠等（2021）亦发现中国上市公司存在类似的策略性文本行为。</w:t>
      </w:r>
    </w:p>
    <w:p>
      <w:pPr>
        <w:spacing w:after="120" w:line="360" w:lineRule="auto"/>
        <w:ind w:firstLine="480"/>
      </w:pPr>
      <w:r>
        <w:rPr>
          <w:rFonts w:ascii="宋体" w:hAnsi="宋体" w:eastAsia="宋体"/>
          <w:b/>
          <w:sz w:val="24"/>
        </w:rPr>
        <w:t>（4）研究缺口。</w:t>
      </w:r>
      <w:r>
        <w:rPr>
          <w:rFonts w:ascii="宋体" w:hAnsi="宋体" w:eastAsia="宋体"/>
          <w:b w:val="0"/>
          <w:sz w:val="24"/>
        </w:rPr>
        <w:t xml:space="preserve"> 其一，既有中文文献多使用单一词典法测度，缺少"词典法 + 机器学习法"双测度下的信度效度系统检验，测度的可复现性难以评估；其二，多数研究以整个年报或业绩预告为语料，专门抽取 MD&amp;A 章节并报告抽取成功率的研究较少，而 MD&amp;A 才是前瞻性陈述的主要载体；其三，语调预测力的横截面异质性（谁家的语调更可信）与操纵识别（过度乐观组）在中文证据上仍不充分。本文针对上述三点：双测度交叉检验 + 明确的 MD&amp;A 抽取流程与成功率披露 + 分组异质性与安慰剂设计。</w:t>
      </w:r>
    </w:p>
    <w:p>
      <w:pPr>
        <w:spacing w:before="200" w:after="160"/>
      </w:pPr>
      <w:r>
        <w:rPr>
          <w:rFonts w:ascii="黑体" w:hAnsi="黑体" w:eastAsia="黑体"/>
          <w:b/>
          <w:sz w:val="25"/>
        </w:rPr>
        <w:t>1.4 研究问题与假设</w:t>
      </w:r>
    </w:p>
    <w:p>
      <w:pPr>
        <w:spacing w:after="120" w:line="360" w:lineRule="auto"/>
        <w:ind w:firstLine="480"/>
      </w:pPr>
      <w:r>
        <w:rPr>
          <w:rFonts w:ascii="宋体" w:hAnsi="宋体" w:eastAsia="宋体"/>
          <w:b w:val="0"/>
          <w:sz w:val="24"/>
        </w:rPr>
        <w:t>核心研究问题：</w:t>
      </w:r>
      <w:r>
        <w:rPr>
          <w:rFonts w:ascii="宋体" w:hAnsi="宋体" w:eastAsia="宋体"/>
          <w:b/>
          <w:sz w:val="24"/>
        </w:rPr>
        <w:t>在控制当期业绩后，MD&amp;A 管理层语调能否预测企业未来一年的经营业绩？其预测力是否随语调的可信程度而变化？</w:t>
      </w:r>
    </w:p>
    <w:p>
      <w:pPr>
        <w:spacing w:after="120" w:line="360" w:lineRule="auto"/>
        <w:ind w:firstLine="480"/>
      </w:pPr>
      <w:r>
        <w:rPr>
          <w:rFonts w:ascii="宋体" w:hAnsi="宋体" w:eastAsia="宋体"/>
          <w:b w:val="0"/>
          <w:sz w:val="24"/>
        </w:rPr>
        <w:t>围绕该问题提出三个假设：</w:t>
      </w:r>
    </w:p>
    <w:p>
      <w:pPr>
        <w:spacing w:after="60" w:line="360" w:lineRule="auto"/>
      </w:pPr>
      <w:r>
        <w:rPr>
          <w:rFonts w:ascii="宋体" w:hAnsi="宋体" w:eastAsia="宋体"/>
          <w:b w:val="0"/>
          <w:sz w:val="24"/>
        </w:rPr>
        <w:t xml:space="preserve">- </w:t>
      </w:r>
      <w:r>
        <w:rPr>
          <w:rFonts w:ascii="宋体" w:hAnsi="宋体" w:eastAsia="宋体"/>
          <w:b/>
          <w:sz w:val="24"/>
        </w:rPr>
        <w:t>H1（前瞻性信息假说）</w:t>
      </w:r>
      <w:r>
        <w:rPr>
          <w:rFonts w:ascii="宋体" w:hAnsi="宋体" w:eastAsia="宋体"/>
          <w:b w:val="0"/>
          <w:sz w:val="24"/>
        </w:rPr>
        <w:t>：MD&amp;A 净语调与企业未来一年总资产净利率（ROA_{t+1}）显著正相关。</w:t>
      </w:r>
    </w:p>
    <w:p>
      <w:pPr>
        <w:spacing w:after="60" w:line="360" w:lineRule="auto"/>
      </w:pPr>
      <w:r>
        <w:rPr>
          <w:rFonts w:ascii="宋体" w:hAnsi="宋体" w:eastAsia="宋体"/>
          <w:b w:val="0"/>
          <w:sz w:val="24"/>
        </w:rPr>
        <w:t xml:space="preserve">- </w:t>
      </w:r>
      <w:r>
        <w:rPr>
          <w:rFonts w:ascii="宋体" w:hAnsi="宋体" w:eastAsia="宋体"/>
          <w:b/>
          <w:sz w:val="24"/>
        </w:rPr>
        <w:t>H2（增量信息假说）</w:t>
      </w:r>
      <w:r>
        <w:rPr>
          <w:rFonts w:ascii="宋体" w:hAnsi="宋体" w:eastAsia="宋体"/>
          <w:b w:val="0"/>
          <w:sz w:val="24"/>
        </w:rPr>
        <w:t>：在控制当期 ROA 及其他基本面变量后，净语调对未来 ROA 的预测力依然显著为正，即语调并非当期业绩的简单重复。</w:t>
      </w:r>
    </w:p>
    <w:p>
      <w:pPr>
        <w:spacing w:after="60" w:line="360" w:lineRule="auto"/>
      </w:pPr>
      <w:r>
        <w:rPr>
          <w:rFonts w:ascii="宋体" w:hAnsi="宋体" w:eastAsia="宋体"/>
          <w:b w:val="0"/>
          <w:sz w:val="24"/>
        </w:rPr>
        <w:t xml:space="preserve">- </w:t>
      </w:r>
      <w:r>
        <w:rPr>
          <w:rFonts w:ascii="宋体" w:hAnsi="宋体" w:eastAsia="宋体"/>
          <w:b/>
          <w:sz w:val="24"/>
        </w:rPr>
        <w:t>H3（策略性语调假说）</w:t>
      </w:r>
      <w:r>
        <w:rPr>
          <w:rFonts w:ascii="宋体" w:hAnsi="宋体" w:eastAsia="宋体"/>
          <w:b w:val="0"/>
          <w:sz w:val="24"/>
        </w:rPr>
        <w:t>：语调的预测力存在横截面异质性——在语调显著偏离同期横截面均值的"过度乐观"组，以及财务杠杆较高的组，语调对未来业绩的预测力减弱。</w:t>
      </w:r>
    </w:p>
    <w:p>
      <w:pPr>
        <w:spacing w:before="200" w:after="160"/>
      </w:pPr>
      <w:r>
        <w:rPr>
          <w:rFonts w:ascii="黑体" w:hAnsi="黑体" w:eastAsia="黑体"/>
          <w:b/>
          <w:sz w:val="25"/>
        </w:rPr>
        <w:t>1.5 研究思路与结构安排</w:t>
      </w:r>
    </w:p>
    <w:p>
      <w:pPr>
        <w:spacing w:after="120" w:line="360" w:lineRule="auto"/>
        <w:ind w:firstLine="480"/>
      </w:pPr>
      <w:r>
        <w:rPr>
          <w:rFonts w:ascii="宋体" w:hAnsi="宋体" w:eastAsia="宋体"/>
          <w:b w:val="0"/>
          <w:sz w:val="24"/>
        </w:rPr>
        <w:t>本文按"NLP 测度构建五步流程"组织：第一步语料获取（巨潮资讯公开接口下载年报原文）；第二步文本预处理（章节抽取、清洗、分词）；第三步测度构建（词典法 + 机器学习法 + 离散度，并完成信度效度检验）；第四步实证检验（双向固定效应模型 + 交互项检验）；第五步稳健性检验（替代测度、替代业绩、逐年剔除、分半复核、安慰剂置换）。第 2 章介绍测度构建与指标设计，第 3 章说明数据来源与处理，第 4 章给出实证方案，第 5 章报告结果并讨论，第 6 章总结并讨论局限。</w:t>
      </w:r>
    </w:p>
    <w:p>
      <w:pPr>
        <w:spacing w:before="200" w:after="160"/>
      </w:pPr>
      <w:r>
        <w:rPr>
          <w:rFonts w:ascii="黑体" w:hAnsi="黑体" w:eastAsia="黑体"/>
          <w:b/>
          <w:sz w:val="28"/>
        </w:rPr>
        <w:t>2 测度构建与指标设计</w:t>
      </w:r>
    </w:p>
    <w:p>
      <w:pPr>
        <w:spacing w:before="200" w:after="160"/>
      </w:pPr>
      <w:r>
        <w:rPr>
          <w:rFonts w:ascii="黑体" w:hAnsi="黑体" w:eastAsia="黑体"/>
          <w:b/>
          <w:sz w:val="25"/>
        </w:rPr>
        <w:t>2.1 测度构建的总体思路</w:t>
      </w:r>
    </w:p>
    <w:p>
      <w:pPr>
        <w:spacing w:after="120" w:line="360" w:lineRule="auto"/>
        <w:ind w:firstLine="480"/>
      </w:pPr>
      <w:r>
        <w:rPr>
          <w:rFonts w:ascii="宋体" w:hAnsi="宋体" w:eastAsia="宋体"/>
          <w:b w:val="0"/>
          <w:sz w:val="24"/>
        </w:rPr>
        <w:t>语调测度的构建遵循三条原则。</w:t>
      </w:r>
      <w:r>
        <w:rPr>
          <w:rFonts w:ascii="宋体" w:hAnsi="宋体" w:eastAsia="宋体"/>
          <w:b/>
          <w:sz w:val="24"/>
        </w:rPr>
        <w:t>一是语境适配</w:t>
      </w:r>
      <w:r>
        <w:rPr>
          <w:rFonts w:ascii="宋体" w:hAnsi="宋体" w:eastAsia="宋体"/>
          <w:b w:val="0"/>
          <w:sz w:val="24"/>
        </w:rPr>
        <w:t>：通用情感词典在财务语境中误判率高，本文以金融语境词表为基础，并针对 MD&amp;A 的叙述风格补充"降本增效""稳中有进""订单饱满"等高频经营表述。</w:t>
      </w:r>
      <w:r>
        <w:rPr>
          <w:rFonts w:ascii="宋体" w:hAnsi="宋体" w:eastAsia="宋体"/>
          <w:b/>
          <w:sz w:val="24"/>
        </w:rPr>
        <w:t>二是句内结构敏感</w:t>
      </w:r>
      <w:r>
        <w:rPr>
          <w:rFonts w:ascii="宋体" w:hAnsi="宋体" w:eastAsia="宋体"/>
          <w:b w:val="0"/>
          <w:sz w:val="24"/>
        </w:rPr>
        <w:t>：中文的否定与程度修饰发生在情感词邻近窗口内，"未能实现增长"与"实现增长"极性相反，"大幅下降"比"略有下降"更负面，因此测度必须处理否定词翻转与程度副词加权，而不是简单数词。</w:t>
      </w:r>
      <w:r>
        <w:rPr>
          <w:rFonts w:ascii="宋体" w:hAnsi="宋体" w:eastAsia="宋体"/>
          <w:b/>
          <w:sz w:val="24"/>
        </w:rPr>
        <w:t>三是双测度交叉验证</w:t>
      </w:r>
      <w:r>
        <w:rPr>
          <w:rFonts w:ascii="宋体" w:hAnsi="宋体" w:eastAsia="宋体"/>
          <w:b w:val="0"/>
          <w:sz w:val="24"/>
        </w:rPr>
        <w:t>：词典法透明可复现但词表覆盖有限；机器学习法能捕捉词典外信号但可解释性弱。本文同时构建两种测度，以两者的相关系数作为聚合效度证据，并在回归中互相替换以检验结论稳健性。</w:t>
      </w:r>
    </w:p>
    <w:p>
      <w:pPr>
        <w:spacing w:before="200" w:after="160"/>
      </w:pPr>
      <w:r>
        <w:rPr>
          <w:rFonts w:ascii="黑体" w:hAnsi="黑体" w:eastAsia="黑体"/>
          <w:b/>
          <w:sz w:val="25"/>
        </w:rPr>
        <w:t>2.2 词典法净语调（主测度 TONE_dict）</w:t>
      </w:r>
    </w:p>
    <w:p>
      <w:pPr>
        <w:spacing w:after="120" w:line="360" w:lineRule="auto"/>
        <w:ind w:firstLine="480"/>
      </w:pPr>
      <w:r>
        <w:rPr>
          <w:rFonts w:ascii="宋体" w:hAnsi="宋体" w:eastAsia="宋体"/>
          <w:b/>
          <w:sz w:val="24"/>
        </w:rPr>
        <w:t>词表构成。</w:t>
      </w:r>
      <w:r>
        <w:rPr>
          <w:rFonts w:ascii="宋体" w:hAnsi="宋体" w:eastAsia="宋体"/>
          <w:b w:val="0"/>
          <w:sz w:val="24"/>
        </w:rPr>
        <w:t xml:space="preserve"> 本文自建中文金融情感子词典（教学演示版，词表以纯文本随代码公开）：正面词 209 条（如"增长、改善、创新、降本增效、稳中有进、逆势增长、超预期"）、负面词 188 条（如"下滑、亏损、风险、产能过剩、库存积压、低于预期"）、否定词 31 条（如"未、未能、难以、尚未、无法"）、程度副词 66 条并分为强化档（权重 2.0，如"显著、大幅、极其"）与弱化档（权重 0.5，如"略有、小幅、有所"）。该词典可通过替换 </w:t>
      </w:r>
      <w:r>
        <w:rPr>
          <w:rFonts w:ascii="Consolas" w:hAnsi="Consolas" w:eastAsia="Consolas"/>
          <w:b w:val="0"/>
          <w:sz w:val="22"/>
        </w:rPr>
        <w:t>code/lexicon/</w:t>
      </w:r>
      <w:r>
        <w:rPr>
          <w:rFonts w:ascii="宋体" w:hAnsi="宋体" w:eastAsia="宋体"/>
          <w:b w:val="0"/>
          <w:sz w:val="24"/>
        </w:rPr>
        <w:t xml:space="preserve"> 下的纯文本文件接入任意完整词表（例如姚加权等 2021 的中文金融情感词典），以保证方法的可迁移性。</w:t>
      </w:r>
    </w:p>
    <w:p>
      <w:pPr>
        <w:spacing w:after="120" w:line="360" w:lineRule="auto"/>
        <w:ind w:firstLine="480"/>
      </w:pPr>
      <w:r>
        <w:rPr>
          <w:rFonts w:ascii="宋体" w:hAnsi="宋体" w:eastAsia="宋体"/>
          <w:b/>
          <w:sz w:val="24"/>
        </w:rPr>
        <w:t>计算流程。</w:t>
      </w:r>
      <w:r>
        <w:rPr>
          <w:rFonts w:ascii="宋体" w:hAnsi="宋体" w:eastAsia="宋体"/>
          <w:b w:val="0"/>
          <w:sz w:val="24"/>
        </w:rPr>
        <w:t xml:space="preserve"> 对每篇 MD&amp;A：(1) jieba 精确模式分词，去除停用词与单字词；(2) 逐句扫描，对命中情感词的词项 w：先检查其前 2 词窗口内是否出现程度副词以确定权重；再检查其前 3 词窗口内是否出现否定词，若出现则极性翻转；(3) 按权重累计正面得分 P 与负面得分 N；(4) 净语调定义为</w:t>
      </w:r>
    </w:p>
    <w:p>
      <w:pPr>
        <w:spacing w:after="120" w:line="360" w:lineRule="auto"/>
        <w:ind w:firstLine="480"/>
      </w:pPr>
      <w:r>
        <w:rPr>
          <w:rFonts w:ascii="宋体" w:hAnsi="宋体" w:eastAsia="宋体"/>
          <w:b w:val="0"/>
          <w:sz w:val="24"/>
        </w:rPr>
        <w:t>TONE_dict = (P − N) / 总词数</w:t>
      </w:r>
    </w:p>
    <w:p>
      <w:pPr>
        <w:spacing w:after="120" w:line="360" w:lineRule="auto"/>
        <w:ind w:firstLine="480"/>
      </w:pPr>
      <w:r>
        <w:rPr>
          <w:rFonts w:ascii="宋体" w:hAnsi="宋体" w:eastAsia="宋体"/>
          <w:b w:val="0"/>
          <w:sz w:val="24"/>
        </w:rPr>
        <w:t>除净语调外，同时输出正面词占比 PosRatio、负面词占比 NegRatio，以及句级语调（句内净得分 / 句长）的标准差 TONE_sd，作为管理层内部分歧的文本代理。TONE_sd 越大，说明同一份 MD&amp;A 中正负面表述的句间波动越剧烈，可能反映管理层在"报喜"与"提示风险"之间来回切换。</w:t>
      </w:r>
    </w:p>
    <w:p>
      <w:pPr>
        <w:spacing w:after="120" w:line="360" w:lineRule="auto"/>
        <w:ind w:firstLine="480"/>
      </w:pPr>
      <w:r>
        <w:rPr>
          <w:rFonts w:ascii="宋体" w:hAnsi="宋体" w:eastAsia="宋体"/>
          <w:b/>
          <w:sz w:val="24"/>
        </w:rPr>
        <w:t>与既有测度的关系。</w:t>
      </w:r>
      <w:r>
        <w:rPr>
          <w:rFonts w:ascii="宋体" w:hAnsi="宋体" w:eastAsia="宋体"/>
          <w:b w:val="0"/>
          <w:sz w:val="24"/>
        </w:rPr>
        <w:t xml:space="preserve"> 净语调的分子分母口径与曾庆生等（2018）一致，差别在于本文引入否定词翻转与程度加权两个语言结构模块，并在稳健性检验中用分半语调复核该口径的稳定性。</w:t>
      </w:r>
    </w:p>
    <w:p>
      <w:pPr>
        <w:spacing w:before="200" w:after="160"/>
      </w:pPr>
      <w:r>
        <w:rPr>
          <w:rFonts w:ascii="黑体" w:hAnsi="黑体" w:eastAsia="黑体"/>
          <w:b/>
          <w:sz w:val="25"/>
        </w:rPr>
        <w:t>2.3 机器学习替代测度（TONE_ml）</w:t>
      </w:r>
    </w:p>
    <w:p>
      <w:pPr>
        <w:spacing w:after="120" w:line="360" w:lineRule="auto"/>
        <w:ind w:firstLine="480"/>
      </w:pPr>
      <w:r>
        <w:rPr>
          <w:rFonts w:ascii="宋体" w:hAnsi="宋体" w:eastAsia="宋体"/>
          <w:b w:val="0"/>
          <w:sz w:val="24"/>
        </w:rPr>
        <w:t>词典法无法捕捉"抓机遇、练内功"等词典外表述的语调极性。为缓解覆盖不足，本文构建弱监督机器学习测度：以词典法净语调的上 1/3 分位样本为"正面"、下 1/3 分位为"负面"构造训练标签（剔除中间 1/3，避免弱标签噪声，最终得到 75 篇弱标签样本）；特征为 TF-IDF 词频向量（sublinear TF，min_df=3，max_features=4000，最终保留 4000 维特征）；分类器为 L2 正则逻辑回归；采用 5 折交叉验证输出样本外预测概率作为 TONE_ml，避免样本内乐观偏误；未进入极端组的样本由全样本模型补齐预测。该设计模拟了"用可靠但昂贵的标注（词典法）训练廉价预测器"的常见工业做法，同时保留了可复现性。逻辑回归的系数可直接解读为词项对语调极性的边际贡献，兼顾了机器学习法的拟合能力与词典法的可解释性。</w:t>
      </w:r>
    </w:p>
    <w:p>
      <w:pPr>
        <w:spacing w:before="200" w:after="160"/>
      </w:pPr>
      <w:r>
        <w:rPr>
          <w:rFonts w:ascii="黑体" w:hAnsi="黑体" w:eastAsia="黑体"/>
          <w:b/>
          <w:sz w:val="25"/>
        </w:rPr>
        <w:t>2.4 信度与效度检验设计</w:t>
      </w:r>
    </w:p>
    <w:p>
      <w:pPr>
        <w:spacing w:after="120" w:line="360" w:lineRule="auto"/>
        <w:ind w:firstLine="480"/>
      </w:pPr>
      <w:r>
        <w:rPr>
          <w:rFonts w:ascii="宋体" w:hAnsi="宋体" w:eastAsia="宋体"/>
          <w:b w:val="0"/>
          <w:sz w:val="24"/>
        </w:rPr>
        <w:t>测度若无信效度证据，后续回归无意义。本文设计四项检验：</w:t>
      </w:r>
    </w:p>
    <w:p>
      <w:pPr>
        <w:spacing w:after="60" w:line="360" w:lineRule="auto"/>
      </w:pPr>
      <w:r>
        <w:rPr>
          <w:rFonts w:ascii="宋体" w:hAnsi="宋体" w:eastAsia="宋体"/>
          <w:b w:val="0"/>
          <w:sz w:val="24"/>
        </w:rPr>
        <w:t xml:space="preserve">- </w:t>
      </w:r>
      <w:r>
        <w:rPr>
          <w:rFonts w:ascii="宋体" w:hAnsi="宋体" w:eastAsia="宋体"/>
          <w:b/>
          <w:sz w:val="24"/>
        </w:rPr>
        <w:t>分半信度</w:t>
      </w:r>
      <w:r>
        <w:rPr>
          <w:rFonts w:ascii="宋体" w:hAnsi="宋体" w:eastAsia="宋体"/>
          <w:b w:val="0"/>
          <w:sz w:val="24"/>
        </w:rPr>
        <w:t>：将每篇 MD&amp;A 的句子按奇偶序拆成两半（奇数句、偶数句），分别独立计算净语调，两列的 Pearson 相关系数按 Spearman-Brown 公式 r_SB = 2r / (1 + r) 校正。分半信度衡量的是测度对"同一构念在文档内部不同子集中的取值一致性"，校正后信度大于 0.7 视为可接受。</w:t>
      </w:r>
    </w:p>
    <w:p>
      <w:pPr>
        <w:spacing w:after="60" w:line="360" w:lineRule="auto"/>
      </w:pPr>
      <w:r>
        <w:rPr>
          <w:rFonts w:ascii="宋体" w:hAnsi="宋体" w:eastAsia="宋体"/>
          <w:b w:val="0"/>
          <w:sz w:val="24"/>
        </w:rPr>
        <w:t xml:space="preserve">- </w:t>
      </w:r>
      <w:r>
        <w:rPr>
          <w:rFonts w:ascii="宋体" w:hAnsi="宋体" w:eastAsia="宋体"/>
          <w:b/>
          <w:sz w:val="24"/>
        </w:rPr>
        <w:t>聚合效度</w:t>
      </w:r>
      <w:r>
        <w:rPr>
          <w:rFonts w:ascii="宋体" w:hAnsi="宋体" w:eastAsia="宋体"/>
          <w:b w:val="0"/>
          <w:sz w:val="24"/>
        </w:rPr>
        <w:t>：TONE_dict 与 TONE_ml 的 Pearson 相关系数。两个原理完全不同（词典计数 vs 统计学习）的测度若显著正相关，说明它们捕捉的是同一潜在构念，而非各自的测量噪声。</w:t>
      </w:r>
    </w:p>
    <w:p>
      <w:pPr>
        <w:spacing w:after="60" w:line="360" w:lineRule="auto"/>
      </w:pPr>
      <w:r>
        <w:rPr>
          <w:rFonts w:ascii="宋体" w:hAnsi="宋体" w:eastAsia="宋体"/>
          <w:b w:val="0"/>
          <w:sz w:val="24"/>
        </w:rPr>
        <w:t xml:space="preserve">- </w:t>
      </w:r>
      <w:r>
        <w:rPr>
          <w:rFonts w:ascii="宋体" w:hAnsi="宋体" w:eastAsia="宋体"/>
          <w:b/>
          <w:sz w:val="24"/>
        </w:rPr>
        <w:t>已知组效度</w:t>
      </w:r>
      <w:r>
        <w:rPr>
          <w:rFonts w:ascii="宋体" w:hAnsi="宋体" w:eastAsia="宋体"/>
          <w:b w:val="0"/>
          <w:sz w:val="24"/>
        </w:rPr>
        <w:t>：以归母净利润同比增速为分组依据，增速为正的"增长组"与增速为负的"下滑组"，前者语调应显著更高（Welch t 检验，不假定方差齐性）。</w:t>
      </w:r>
    </w:p>
    <w:p>
      <w:pPr>
        <w:spacing w:after="60" w:line="360" w:lineRule="auto"/>
      </w:pPr>
      <w:r>
        <w:rPr>
          <w:rFonts w:ascii="宋体" w:hAnsi="宋体" w:eastAsia="宋体"/>
          <w:b w:val="0"/>
          <w:sz w:val="24"/>
        </w:rPr>
        <w:t xml:space="preserve">- </w:t>
      </w:r>
      <w:r>
        <w:rPr>
          <w:rFonts w:ascii="宋体" w:hAnsi="宋体" w:eastAsia="宋体"/>
          <w:b/>
          <w:sz w:val="24"/>
        </w:rPr>
        <w:t>预测效度</w:t>
      </w:r>
      <w:r>
        <w:rPr>
          <w:rFonts w:ascii="宋体" w:hAnsi="宋体" w:eastAsia="宋体"/>
          <w:b w:val="0"/>
          <w:sz w:val="24"/>
        </w:rPr>
        <w:t>：TONE_t 与 ROA_{t+1} 的相关系数应显著为正，这构成测度"有用性"的外部证据（详见第 5 章）。</w:t>
      </w:r>
    </w:p>
    <w:p>
      <w:pPr>
        <w:spacing w:after="120" w:line="360" w:lineRule="auto"/>
        <w:ind w:firstLine="480"/>
      </w:pPr>
      <w:r>
        <w:rPr>
          <w:rFonts w:ascii="宋体" w:hAnsi="宋体" w:eastAsia="宋体"/>
          <w:b w:val="0"/>
          <w:sz w:val="24"/>
        </w:rPr>
        <w:t>四项检验分别对应构念效度的收敛证据（分半、聚合）、判别证据（已知组）与效标关联证据（预测），构成完整的信效度链条。</w:t>
      </w:r>
    </w:p>
    <w:p>
      <w:pPr>
        <w:spacing w:before="200" w:after="160"/>
      </w:pPr>
      <w:r>
        <w:rPr>
          <w:rFonts w:ascii="黑体" w:hAnsi="黑体" w:eastAsia="黑体"/>
          <w:b/>
          <w:sz w:val="25"/>
        </w:rPr>
        <w:t>2.5 变量定义表</w:t>
      </w:r>
    </w:p>
    <w:p>
      <w:pPr>
        <w:spacing w:after="120" w:line="360" w:lineRule="auto"/>
        <w:ind w:firstLine="480"/>
      </w:pPr>
      <w:r>
        <w:rPr>
          <w:rFonts w:ascii="宋体" w:hAnsi="宋体" w:eastAsia="宋体"/>
          <w:b/>
          <w:sz w:val="24"/>
        </w:rPr>
        <w:t>表 1  变量定义与度量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21"/>
              </w:rPr>
              <w:t>符号</w:t>
            </w:r>
          </w:p>
        </w:tc>
        <w:tc>
          <w:tcPr>
            <w:tcW w:type="dxa" w:w="2160"/>
          </w:tcPr>
          <w:p>
            <w:pPr>
              <w:jc w:val="center"/>
            </w:pPr>
            <w:r/>
            <w:r>
              <w:rPr>
                <w:rFonts w:ascii="宋体" w:hAnsi="宋体" w:eastAsia="宋体"/>
                <w:b/>
                <w:sz w:val="21"/>
              </w:rPr>
              <w:t>名称</w:t>
            </w:r>
          </w:p>
        </w:tc>
        <w:tc>
          <w:tcPr>
            <w:tcW w:type="dxa" w:w="2160"/>
          </w:tcPr>
          <w:p>
            <w:pPr>
              <w:jc w:val="center"/>
            </w:pPr>
            <w:r/>
            <w:r>
              <w:rPr>
                <w:rFonts w:ascii="宋体" w:hAnsi="宋体" w:eastAsia="宋体"/>
                <w:b/>
                <w:sz w:val="21"/>
              </w:rPr>
              <w:t>定义与度量</w:t>
            </w:r>
          </w:p>
        </w:tc>
        <w:tc>
          <w:tcPr>
            <w:tcW w:type="dxa" w:w="2160"/>
          </w:tcPr>
          <w:p>
            <w:pPr>
              <w:jc w:val="center"/>
            </w:pPr>
            <w:r/>
            <w:r>
              <w:rPr>
                <w:rFonts w:ascii="宋体" w:hAnsi="宋体" w:eastAsia="宋体"/>
                <w:b/>
                <w:sz w:val="21"/>
              </w:rPr>
              <w:t>数据来源</w:t>
            </w:r>
          </w:p>
        </w:tc>
      </w:tr>
      <w:tr>
        <w:tc>
          <w:tcPr>
            <w:tcW w:type="dxa" w:w="2160"/>
          </w:tcPr>
          <w:p>
            <w:r/>
            <w:r>
              <w:rPr>
                <w:rFonts w:ascii="宋体" w:hAnsi="宋体" w:eastAsia="宋体"/>
                <w:b w:val="0"/>
                <w:sz w:val="21"/>
              </w:rPr>
              <w:t>TONE_dict</w:t>
            </w:r>
          </w:p>
        </w:tc>
        <w:tc>
          <w:tcPr>
            <w:tcW w:type="dxa" w:w="2160"/>
          </w:tcPr>
          <w:p>
            <w:r/>
            <w:r>
              <w:rPr>
                <w:rFonts w:ascii="宋体" w:hAnsi="宋体" w:eastAsia="宋体"/>
                <w:b w:val="0"/>
                <w:sz w:val="21"/>
              </w:rPr>
              <w:t>词典法净语调</w:t>
            </w:r>
          </w:p>
        </w:tc>
        <w:tc>
          <w:tcPr>
            <w:tcW w:type="dxa" w:w="2160"/>
          </w:tcPr>
          <w:p>
            <w:r/>
            <w:r>
              <w:rPr>
                <w:rFonts w:ascii="宋体" w:hAnsi="宋体" w:eastAsia="宋体"/>
                <w:b w:val="0"/>
                <w:sz w:val="21"/>
              </w:rPr>
              <w:t>(正面得分−负面得分)/总词数，含否定翻转与程度加权</w:t>
            </w:r>
          </w:p>
        </w:tc>
        <w:tc>
          <w:tcPr>
            <w:tcW w:type="dxa" w:w="2160"/>
          </w:tcPr>
          <w:p>
            <w:r/>
            <w:r>
              <w:rPr>
                <w:rFonts w:ascii="宋体" w:hAnsi="宋体" w:eastAsia="宋体"/>
                <w:b w:val="0"/>
                <w:sz w:val="21"/>
              </w:rPr>
              <w:t>年报 MD&amp;A 文本，自建词典</w:t>
            </w:r>
          </w:p>
        </w:tc>
      </w:tr>
      <w:tr>
        <w:tc>
          <w:tcPr>
            <w:tcW w:type="dxa" w:w="2160"/>
          </w:tcPr>
          <w:p>
            <w:r/>
            <w:r>
              <w:rPr>
                <w:rFonts w:ascii="宋体" w:hAnsi="宋体" w:eastAsia="宋体"/>
                <w:b w:val="0"/>
                <w:sz w:val="21"/>
              </w:rPr>
              <w:t>TONE_ml</w:t>
            </w:r>
          </w:p>
        </w:tc>
        <w:tc>
          <w:tcPr>
            <w:tcW w:type="dxa" w:w="2160"/>
          </w:tcPr>
          <w:p>
            <w:r/>
            <w:r>
              <w:rPr>
                <w:rFonts w:ascii="宋体" w:hAnsi="宋体" w:eastAsia="宋体"/>
                <w:b w:val="0"/>
                <w:sz w:val="21"/>
              </w:rPr>
              <w:t>机器学习语调</w:t>
            </w:r>
          </w:p>
        </w:tc>
        <w:tc>
          <w:tcPr>
            <w:tcW w:type="dxa" w:w="2160"/>
          </w:tcPr>
          <w:p>
            <w:r/>
            <w:r>
              <w:rPr>
                <w:rFonts w:ascii="宋体" w:hAnsi="宋体" w:eastAsia="宋体"/>
                <w:b w:val="0"/>
                <w:sz w:val="21"/>
              </w:rPr>
              <w:t>TF-IDF + 逻辑回归 5 折交叉验证的正面概率</w:t>
            </w:r>
          </w:p>
        </w:tc>
        <w:tc>
          <w:tcPr>
            <w:tcW w:type="dxa" w:w="2160"/>
          </w:tcPr>
          <w:p>
            <w:r/>
            <w:r>
              <w:rPr>
                <w:rFonts w:ascii="宋体" w:hAnsi="宋体" w:eastAsia="宋体"/>
                <w:b w:val="0"/>
                <w:sz w:val="21"/>
              </w:rPr>
              <w:t>年报 MD&amp;A 文本</w:t>
            </w:r>
          </w:p>
        </w:tc>
      </w:tr>
      <w:tr>
        <w:tc>
          <w:tcPr>
            <w:tcW w:type="dxa" w:w="2160"/>
          </w:tcPr>
          <w:p>
            <w:r/>
            <w:r>
              <w:rPr>
                <w:rFonts w:ascii="宋体" w:hAnsi="宋体" w:eastAsia="宋体"/>
                <w:b w:val="0"/>
                <w:sz w:val="21"/>
              </w:rPr>
              <w:t>TONE_sd</w:t>
            </w:r>
          </w:p>
        </w:tc>
        <w:tc>
          <w:tcPr>
            <w:tcW w:type="dxa" w:w="2160"/>
          </w:tcPr>
          <w:p>
            <w:r/>
            <w:r>
              <w:rPr>
                <w:rFonts w:ascii="宋体" w:hAnsi="宋体" w:eastAsia="宋体"/>
                <w:b w:val="0"/>
                <w:sz w:val="21"/>
              </w:rPr>
              <w:t>语调离散度</w:t>
            </w:r>
          </w:p>
        </w:tc>
        <w:tc>
          <w:tcPr>
            <w:tcW w:type="dxa" w:w="2160"/>
          </w:tcPr>
          <w:p>
            <w:r/>
            <w:r>
              <w:rPr>
                <w:rFonts w:ascii="宋体" w:hAnsi="宋体" w:eastAsia="宋体"/>
                <w:b w:val="0"/>
                <w:sz w:val="21"/>
              </w:rPr>
              <w:t>句级净语调的标准差</w:t>
            </w:r>
          </w:p>
        </w:tc>
        <w:tc>
          <w:tcPr>
            <w:tcW w:type="dxa" w:w="2160"/>
          </w:tcPr>
          <w:p>
            <w:r/>
            <w:r>
              <w:rPr>
                <w:rFonts w:ascii="宋体" w:hAnsi="宋体" w:eastAsia="宋体"/>
                <w:b w:val="0"/>
                <w:sz w:val="21"/>
              </w:rPr>
              <w:t>年报 MD&amp;A 文本</w:t>
            </w:r>
          </w:p>
        </w:tc>
      </w:tr>
      <w:tr>
        <w:tc>
          <w:tcPr>
            <w:tcW w:type="dxa" w:w="2160"/>
          </w:tcPr>
          <w:p>
            <w:r/>
            <w:r>
              <w:rPr>
                <w:rFonts w:ascii="宋体" w:hAnsi="宋体" w:eastAsia="宋体"/>
                <w:b w:val="0"/>
                <w:sz w:val="21"/>
              </w:rPr>
              <w:t>roa_next</w:t>
            </w:r>
          </w:p>
        </w:tc>
        <w:tc>
          <w:tcPr>
            <w:tcW w:type="dxa" w:w="2160"/>
          </w:tcPr>
          <w:p>
            <w:r/>
            <w:r>
              <w:rPr>
                <w:rFonts w:ascii="宋体" w:hAnsi="宋体" w:eastAsia="宋体"/>
                <w:b w:val="0"/>
                <w:sz w:val="21"/>
              </w:rPr>
              <w:t>未来业绩</w:t>
            </w:r>
          </w:p>
        </w:tc>
        <w:tc>
          <w:tcPr>
            <w:tcW w:type="dxa" w:w="2160"/>
          </w:tcPr>
          <w:p>
            <w:r/>
            <w:r>
              <w:rPr>
                <w:rFonts w:ascii="宋体" w:hAnsi="宋体" w:eastAsia="宋体"/>
                <w:b w:val="0"/>
                <w:sz w:val="21"/>
              </w:rPr>
              <w:t>t+1 年总资产净利率 ZZCJLL（%）</w:t>
            </w:r>
          </w:p>
        </w:tc>
        <w:tc>
          <w:tcPr>
            <w:tcW w:type="dxa" w:w="2160"/>
          </w:tcPr>
          <w:p>
            <w:r/>
            <w:r>
              <w:rPr>
                <w:rFonts w:ascii="宋体" w:hAnsi="宋体" w:eastAsia="宋体"/>
                <w:b w:val="0"/>
                <w:sz w:val="21"/>
              </w:rPr>
              <w:t>东方财富数据中心</w:t>
            </w:r>
          </w:p>
        </w:tc>
      </w:tr>
      <w:tr>
        <w:tc>
          <w:tcPr>
            <w:tcW w:type="dxa" w:w="2160"/>
          </w:tcPr>
          <w:p>
            <w:r/>
            <w:r>
              <w:rPr>
                <w:rFonts w:ascii="宋体" w:hAnsi="宋体" w:eastAsia="宋体"/>
                <w:b w:val="0"/>
                <w:sz w:val="21"/>
              </w:rPr>
              <w:t>roa</w:t>
            </w:r>
          </w:p>
        </w:tc>
        <w:tc>
          <w:tcPr>
            <w:tcW w:type="dxa" w:w="2160"/>
          </w:tcPr>
          <w:p>
            <w:r/>
            <w:r>
              <w:rPr>
                <w:rFonts w:ascii="宋体" w:hAnsi="宋体" w:eastAsia="宋体"/>
                <w:b w:val="0"/>
                <w:sz w:val="21"/>
              </w:rPr>
              <w:t>当期业绩</w:t>
            </w:r>
          </w:p>
        </w:tc>
        <w:tc>
          <w:tcPr>
            <w:tcW w:type="dxa" w:w="2160"/>
          </w:tcPr>
          <w:p>
            <w:r/>
            <w:r>
              <w:rPr>
                <w:rFonts w:ascii="宋体" w:hAnsi="宋体" w:eastAsia="宋体"/>
                <w:b w:val="0"/>
                <w:sz w:val="21"/>
              </w:rPr>
              <w:t>t 年总资产净利率（%）</w:t>
            </w:r>
          </w:p>
        </w:tc>
        <w:tc>
          <w:tcPr>
            <w:tcW w:type="dxa" w:w="2160"/>
          </w:tcPr>
          <w:p>
            <w:r/>
            <w:r>
              <w:rPr>
                <w:rFonts w:ascii="宋体" w:hAnsi="宋体" w:eastAsia="宋体"/>
                <w:b w:val="0"/>
                <w:sz w:val="21"/>
              </w:rPr>
              <w:t>东方财富数据中心</w:t>
            </w:r>
          </w:p>
        </w:tc>
      </w:tr>
      <w:tr>
        <w:tc>
          <w:tcPr>
            <w:tcW w:type="dxa" w:w="2160"/>
          </w:tcPr>
          <w:p>
            <w:r/>
            <w:r>
              <w:rPr>
                <w:rFonts w:ascii="宋体" w:hAnsi="宋体" w:eastAsia="宋体"/>
                <w:b w:val="0"/>
                <w:sz w:val="21"/>
              </w:rPr>
              <w:t>size</w:t>
            </w:r>
          </w:p>
        </w:tc>
        <w:tc>
          <w:tcPr>
            <w:tcW w:type="dxa" w:w="2160"/>
          </w:tcPr>
          <w:p>
            <w:r/>
            <w:r>
              <w:rPr>
                <w:rFonts w:ascii="宋体" w:hAnsi="宋体" w:eastAsia="宋体"/>
                <w:b w:val="0"/>
                <w:sz w:val="21"/>
              </w:rPr>
              <w:t>规模</w:t>
            </w:r>
          </w:p>
        </w:tc>
        <w:tc>
          <w:tcPr>
            <w:tcW w:type="dxa" w:w="2160"/>
          </w:tcPr>
          <w:p>
            <w:r/>
            <w:r>
              <w:rPr>
                <w:rFonts w:ascii="宋体" w:hAnsi="宋体" w:eastAsia="宋体"/>
                <w:b w:val="0"/>
                <w:sz w:val="21"/>
              </w:rPr>
              <w:t>ln(营业总收入，元)</w:t>
            </w:r>
          </w:p>
        </w:tc>
        <w:tc>
          <w:tcPr>
            <w:tcW w:type="dxa" w:w="2160"/>
          </w:tcPr>
          <w:p>
            <w:r/>
            <w:r>
              <w:rPr>
                <w:rFonts w:ascii="宋体" w:hAnsi="宋体" w:eastAsia="宋体"/>
                <w:b w:val="0"/>
                <w:sz w:val="21"/>
              </w:rPr>
              <w:t>东方财富数据中心</w:t>
            </w:r>
          </w:p>
        </w:tc>
      </w:tr>
      <w:tr>
        <w:tc>
          <w:tcPr>
            <w:tcW w:type="dxa" w:w="2160"/>
          </w:tcPr>
          <w:p>
            <w:r/>
            <w:r>
              <w:rPr>
                <w:rFonts w:ascii="宋体" w:hAnsi="宋体" w:eastAsia="宋体"/>
                <w:b w:val="0"/>
                <w:sz w:val="21"/>
              </w:rPr>
              <w:t>lev</w:t>
            </w:r>
          </w:p>
        </w:tc>
        <w:tc>
          <w:tcPr>
            <w:tcW w:type="dxa" w:w="2160"/>
          </w:tcPr>
          <w:p>
            <w:r/>
            <w:r>
              <w:rPr>
                <w:rFonts w:ascii="宋体" w:hAnsi="宋体" w:eastAsia="宋体"/>
                <w:b w:val="0"/>
                <w:sz w:val="21"/>
              </w:rPr>
              <w:t>杠杆</w:t>
            </w:r>
          </w:p>
        </w:tc>
        <w:tc>
          <w:tcPr>
            <w:tcW w:type="dxa" w:w="2160"/>
          </w:tcPr>
          <w:p>
            <w:r/>
            <w:r>
              <w:rPr>
                <w:rFonts w:ascii="宋体" w:hAnsi="宋体" w:eastAsia="宋体"/>
                <w:b w:val="0"/>
                <w:sz w:val="21"/>
              </w:rPr>
              <w:t>t 年资产负债率（%）</w:t>
            </w:r>
          </w:p>
        </w:tc>
        <w:tc>
          <w:tcPr>
            <w:tcW w:type="dxa" w:w="2160"/>
          </w:tcPr>
          <w:p>
            <w:r/>
            <w:r>
              <w:rPr>
                <w:rFonts w:ascii="宋体" w:hAnsi="宋体" w:eastAsia="宋体"/>
                <w:b w:val="0"/>
                <w:sz w:val="21"/>
              </w:rPr>
              <w:t>东方财富数据中心</w:t>
            </w:r>
          </w:p>
        </w:tc>
      </w:tr>
      <w:tr>
        <w:tc>
          <w:tcPr>
            <w:tcW w:type="dxa" w:w="2160"/>
          </w:tcPr>
          <w:p>
            <w:r/>
            <w:r>
              <w:rPr>
                <w:rFonts w:ascii="宋体" w:hAnsi="宋体" w:eastAsia="宋体"/>
                <w:b w:val="0"/>
                <w:sz w:val="21"/>
              </w:rPr>
              <w:t>revGrowth</w:t>
            </w:r>
          </w:p>
        </w:tc>
        <w:tc>
          <w:tcPr>
            <w:tcW w:type="dxa" w:w="2160"/>
          </w:tcPr>
          <w:p>
            <w:r/>
            <w:r>
              <w:rPr>
                <w:rFonts w:ascii="宋体" w:hAnsi="宋体" w:eastAsia="宋体"/>
                <w:b w:val="0"/>
                <w:sz w:val="21"/>
              </w:rPr>
              <w:t>成长性</w:t>
            </w:r>
          </w:p>
        </w:tc>
        <w:tc>
          <w:tcPr>
            <w:tcW w:type="dxa" w:w="2160"/>
          </w:tcPr>
          <w:p>
            <w:r/>
            <w:r>
              <w:rPr>
                <w:rFonts w:ascii="宋体" w:hAnsi="宋体" w:eastAsia="宋体"/>
                <w:b w:val="0"/>
                <w:sz w:val="21"/>
              </w:rPr>
              <w:t>t 年营业收入同比增速（%）</w:t>
            </w:r>
          </w:p>
        </w:tc>
        <w:tc>
          <w:tcPr>
            <w:tcW w:type="dxa" w:w="2160"/>
          </w:tcPr>
          <w:p>
            <w:r/>
            <w:r>
              <w:rPr>
                <w:rFonts w:ascii="宋体" w:hAnsi="宋体" w:eastAsia="宋体"/>
                <w:b w:val="0"/>
                <w:sz w:val="21"/>
              </w:rPr>
              <w:t>东方财富数据中心</w:t>
            </w:r>
          </w:p>
        </w:tc>
      </w:tr>
      <w:tr>
        <w:tc>
          <w:tcPr>
            <w:tcW w:type="dxa" w:w="2160"/>
          </w:tcPr>
          <w:p>
            <w:r/>
            <w:r>
              <w:rPr>
                <w:rFonts w:ascii="宋体" w:hAnsi="宋体" w:eastAsia="宋体"/>
                <w:b w:val="0"/>
                <w:sz w:val="21"/>
              </w:rPr>
              <w:t>D_overOptim</w:t>
            </w:r>
          </w:p>
        </w:tc>
        <w:tc>
          <w:tcPr>
            <w:tcW w:type="dxa" w:w="2160"/>
          </w:tcPr>
          <w:p>
            <w:r/>
            <w:r>
              <w:rPr>
                <w:rFonts w:ascii="宋体" w:hAnsi="宋体" w:eastAsia="宋体"/>
                <w:b w:val="0"/>
                <w:sz w:val="21"/>
              </w:rPr>
              <w:t>过度乐观哑变量</w:t>
            </w:r>
          </w:p>
        </w:tc>
        <w:tc>
          <w:tcPr>
            <w:tcW w:type="dxa" w:w="2160"/>
          </w:tcPr>
          <w:p>
            <w:r/>
            <w:r>
              <w:rPr>
                <w:rFonts w:ascii="宋体" w:hAnsi="宋体" w:eastAsia="宋体"/>
                <w:b w:val="0"/>
                <w:sz w:val="21"/>
              </w:rPr>
              <w:t>TONE 高于同年横截面均值 1 个标准差记 1</w:t>
            </w:r>
          </w:p>
        </w:tc>
        <w:tc>
          <w:tcPr>
            <w:tcW w:type="dxa" w:w="2160"/>
          </w:tcPr>
          <w:p>
            <w:r/>
            <w:r>
              <w:rPr>
                <w:rFonts w:ascii="宋体" w:hAnsi="宋体" w:eastAsia="宋体"/>
                <w:b w:val="0"/>
                <w:sz w:val="21"/>
              </w:rPr>
              <w:t>本文计算</w:t>
            </w:r>
          </w:p>
        </w:tc>
      </w:tr>
      <w:tr>
        <w:tc>
          <w:tcPr>
            <w:tcW w:type="dxa" w:w="2160"/>
          </w:tcPr>
          <w:p>
            <w:r/>
            <w:r>
              <w:rPr>
                <w:rFonts w:ascii="宋体" w:hAnsi="宋体" w:eastAsia="宋体"/>
                <w:b w:val="0"/>
                <w:sz w:val="21"/>
              </w:rPr>
              <w:t>D_highLev</w:t>
            </w:r>
          </w:p>
        </w:tc>
        <w:tc>
          <w:tcPr>
            <w:tcW w:type="dxa" w:w="2160"/>
          </w:tcPr>
          <w:p>
            <w:r/>
            <w:r>
              <w:rPr>
                <w:rFonts w:ascii="宋体" w:hAnsi="宋体" w:eastAsia="宋体"/>
                <w:b w:val="0"/>
                <w:sz w:val="21"/>
              </w:rPr>
              <w:t>高杠杆哑变量</w:t>
            </w:r>
          </w:p>
        </w:tc>
        <w:tc>
          <w:tcPr>
            <w:tcW w:type="dxa" w:w="2160"/>
          </w:tcPr>
          <w:p>
            <w:r/>
            <w:r>
              <w:rPr>
                <w:rFonts w:ascii="宋体" w:hAnsi="宋体" w:eastAsia="宋体"/>
                <w:b w:val="0"/>
                <w:sz w:val="21"/>
              </w:rPr>
              <w:t>lev 高于样本中位数记 1</w:t>
            </w:r>
          </w:p>
        </w:tc>
        <w:tc>
          <w:tcPr>
            <w:tcW w:type="dxa" w:w="2160"/>
          </w:tcPr>
          <w:p>
            <w:r/>
            <w:r>
              <w:rPr>
                <w:rFonts w:ascii="宋体" w:hAnsi="宋体" w:eastAsia="宋体"/>
                <w:b w:val="0"/>
                <w:sz w:val="21"/>
              </w:rPr>
              <w:t>本文计算</w:t>
            </w:r>
          </w:p>
        </w:tc>
      </w:tr>
    </w:tbl>
    <w:p>
      <w:pPr>
        <w:spacing w:after="120" w:line="360" w:lineRule="auto"/>
        <w:ind w:firstLine="480"/>
      </w:pPr>
      <w:r>
        <w:rPr>
          <w:rFonts w:ascii="宋体" w:hAnsi="宋体" w:eastAsia="宋体"/>
          <w:b w:val="0"/>
          <w:sz w:val="24"/>
        </w:rPr>
        <w:t>注：TONE_dict、TONE_ml 等连续变量在进入回归前按上下 1% 缩尾；语调变量在回归中按百分数口径（×100）呈现，系数含义为"净语调每提高 1 个百分点，下一年 ROA 变化多少个百分点"。</w:t>
      </w:r>
    </w:p>
    <w:p>
      <w:pPr>
        <w:spacing w:before="200" w:after="160"/>
      </w:pPr>
      <w:r>
        <w:rPr>
          <w:rFonts w:ascii="黑体" w:hAnsi="黑体" w:eastAsia="黑体"/>
          <w:b/>
          <w:sz w:val="25"/>
        </w:rPr>
        <w:t>2.6 模型设定</w:t>
      </w:r>
    </w:p>
    <w:p>
      <w:pPr>
        <w:spacing w:after="120" w:line="360" w:lineRule="auto"/>
        <w:ind w:firstLine="480"/>
      </w:pPr>
      <w:r>
        <w:rPr>
          <w:rFonts w:ascii="宋体" w:hAnsi="宋体" w:eastAsia="宋体"/>
          <w:b w:val="0"/>
          <w:sz w:val="24"/>
        </w:rPr>
        <w:t>基准回归采用面板固定效应模型：</w:t>
      </w:r>
    </w:p>
    <w:p>
      <w:pPr>
        <w:spacing w:after="120" w:line="360" w:lineRule="auto"/>
        <w:ind w:firstLine="480"/>
      </w:pPr>
      <w:r>
        <w:rPr>
          <w:rFonts w:ascii="宋体" w:hAnsi="宋体" w:eastAsia="宋体"/>
          <w:b w:val="0"/>
          <w:sz w:val="24"/>
        </w:rPr>
        <w:t>ROA_{i,t+1} = α + β·TONE_{i,t} + γ′Controls_{i,t} + μ_i + λ_t + ε_{i,t}</w:t>
      </w:r>
    </w:p>
    <w:p>
      <w:pPr>
        <w:spacing w:after="120" w:line="360" w:lineRule="auto"/>
        <w:ind w:firstLine="480"/>
      </w:pPr>
      <w:r>
        <w:rPr>
          <w:rFonts w:ascii="宋体" w:hAnsi="宋体" w:eastAsia="宋体"/>
          <w:b w:val="0"/>
          <w:sz w:val="24"/>
        </w:rPr>
        <w:t>其中 i 表示公司、t 表示财年；μ_i 为公司固定效应（吸收行业属性、商业模式等不随时间变化的公司特征），λ_t 为年度固定效应（吸收宏观经济与市场层面的共同冲击）；Controls 包括企业规模 size、财务杠杆 lev 与营业收入增速 revGrowth。标准误在公司层面聚类，以容许同一公司不同年度残差的相关性。本文估计四个递进设定：</w:t>
      </w:r>
    </w:p>
    <w:p>
      <w:pPr>
        <w:spacing w:after="60" w:line="360" w:lineRule="auto"/>
      </w:pPr>
      <w:r>
        <w:rPr>
          <w:rFonts w:ascii="宋体" w:hAnsi="宋体" w:eastAsia="宋体"/>
          <w:b w:val="0"/>
          <w:sz w:val="24"/>
        </w:rPr>
        <w:t xml:space="preserve">- </w:t>
      </w:r>
      <w:r>
        <w:rPr>
          <w:rFonts w:ascii="宋体" w:hAnsi="宋体" w:eastAsia="宋体"/>
          <w:b/>
          <w:sz w:val="24"/>
        </w:rPr>
        <w:t>模型 (1)</w:t>
      </w:r>
      <w:r>
        <w:rPr>
          <w:rFonts w:ascii="宋体" w:hAnsi="宋体" w:eastAsia="宋体"/>
          <w:b w:val="0"/>
          <w:sz w:val="24"/>
        </w:rPr>
        <w:t>：仅含年度固定效应，不含控制变量，用于考察语调与未来业绩的原始相关。</w:t>
      </w:r>
    </w:p>
    <w:p>
      <w:pPr>
        <w:spacing w:after="60" w:line="360" w:lineRule="auto"/>
      </w:pPr>
      <w:r>
        <w:rPr>
          <w:rFonts w:ascii="宋体" w:hAnsi="宋体" w:eastAsia="宋体"/>
          <w:b w:val="0"/>
          <w:sz w:val="24"/>
        </w:rPr>
        <w:t xml:space="preserve">- </w:t>
      </w:r>
      <w:r>
        <w:rPr>
          <w:rFonts w:ascii="宋体" w:hAnsi="宋体" w:eastAsia="宋体"/>
          <w:b/>
          <w:sz w:val="24"/>
        </w:rPr>
        <w:t>模型 (2)</w:t>
      </w:r>
      <w:r>
        <w:rPr>
          <w:rFonts w:ascii="宋体" w:hAnsi="宋体" w:eastAsia="宋体"/>
          <w:b w:val="0"/>
          <w:sz w:val="24"/>
        </w:rPr>
        <w:t>：在模型 (1) 基础上加入 size、lev、revGrowth，检验语调的预测力是否被基本面变量吸收。</w:t>
      </w:r>
    </w:p>
    <w:p>
      <w:pPr>
        <w:spacing w:after="60" w:line="360" w:lineRule="auto"/>
      </w:pPr>
      <w:r>
        <w:rPr>
          <w:rFonts w:ascii="宋体" w:hAnsi="宋体" w:eastAsia="宋体"/>
          <w:b w:val="0"/>
          <w:sz w:val="24"/>
        </w:rPr>
        <w:t xml:space="preserve">- </w:t>
      </w:r>
      <w:r>
        <w:rPr>
          <w:rFonts w:ascii="宋体" w:hAnsi="宋体" w:eastAsia="宋体"/>
          <w:b/>
          <w:sz w:val="24"/>
        </w:rPr>
        <w:t>模型 (3)</w:t>
      </w:r>
      <w:r>
        <w:rPr>
          <w:rFonts w:ascii="宋体" w:hAnsi="宋体" w:eastAsia="宋体"/>
          <w:b w:val="0"/>
          <w:sz w:val="24"/>
        </w:rPr>
        <w:t>：在模型 (2) 基础上进一步加入</w:t>
      </w:r>
      <w:r>
        <w:rPr>
          <w:rFonts w:ascii="宋体" w:hAnsi="宋体" w:eastAsia="宋体"/>
          <w:b/>
          <w:sz w:val="24"/>
        </w:rPr>
        <w:t>当期 ROA</w:t>
      </w:r>
      <w:r>
        <w:rPr>
          <w:rFonts w:ascii="宋体" w:hAnsi="宋体" w:eastAsia="宋体"/>
          <w:b w:val="0"/>
          <w:sz w:val="24"/>
        </w:rPr>
        <w:t>——这是 H2 的直接检验。当期 ROA 是未来 ROA 最强的预测因子，若语调在控制它之后依然显著为正，说明语调携带超出历史业绩的增量信息；若语调系数崩塌至零，则说明语调只是当期业绩的镜像。</w:t>
      </w:r>
    </w:p>
    <w:p>
      <w:pPr>
        <w:spacing w:after="60" w:line="360" w:lineRule="auto"/>
      </w:pPr>
      <w:r>
        <w:rPr>
          <w:rFonts w:ascii="宋体" w:hAnsi="宋体" w:eastAsia="宋体"/>
          <w:b w:val="0"/>
          <w:sz w:val="24"/>
        </w:rPr>
        <w:t xml:space="preserve">- </w:t>
      </w:r>
      <w:r>
        <w:rPr>
          <w:rFonts w:ascii="宋体" w:hAnsi="宋体" w:eastAsia="宋体"/>
          <w:b/>
          <w:sz w:val="24"/>
        </w:rPr>
        <w:t>模型 (4)</w:t>
      </w:r>
      <w:r>
        <w:rPr>
          <w:rFonts w:ascii="宋体" w:hAnsi="宋体" w:eastAsia="宋体"/>
          <w:b w:val="0"/>
          <w:sz w:val="24"/>
        </w:rPr>
        <w:t>：改用</w:t>
      </w:r>
      <w:r>
        <w:rPr>
          <w:rFonts w:ascii="宋体" w:hAnsi="宋体" w:eastAsia="宋体"/>
          <w:b/>
          <w:sz w:val="24"/>
        </w:rPr>
        <w:t>公司 + 年度双向固定效应</w:t>
      </w:r>
      <w:r>
        <w:rPr>
          <w:rFonts w:ascii="宋体" w:hAnsi="宋体" w:eastAsia="宋体"/>
          <w:b w:val="0"/>
          <w:sz w:val="24"/>
        </w:rPr>
        <w:t>（不含当期 ROA），以识别语调的预测力究竟来自公司间截面差异还是公司内时序变异——这是对模型 (2)(3) 结论的重要补充与压力测试。</w:t>
      </w:r>
    </w:p>
    <w:p>
      <w:pPr>
        <w:spacing w:after="120" w:line="360" w:lineRule="auto"/>
        <w:ind w:firstLine="480"/>
      </w:pPr>
      <w:r>
        <w:rPr>
          <w:rFonts w:ascii="宋体" w:hAnsi="宋体" w:eastAsia="宋体"/>
          <w:b w:val="0"/>
          <w:sz w:val="24"/>
        </w:rPr>
        <w:t>若 H1 成立，模型 (1)(2) 中 β 应显著为正；若 H2 成立，模型 (3) 中 β 应保持正向显著。H3 的检验则在模型 (2) 或 (3) 的框架中引入交互项：</w:t>
      </w:r>
    </w:p>
    <w:p>
      <w:pPr>
        <w:spacing w:after="120" w:line="360" w:lineRule="auto"/>
        <w:ind w:firstLine="480"/>
      </w:pPr>
      <w:r>
        <w:rPr>
          <w:rFonts w:ascii="宋体" w:hAnsi="宋体" w:eastAsia="宋体"/>
          <w:b w:val="0"/>
          <w:sz w:val="24"/>
        </w:rPr>
        <w:t>ROA_{i,t+1} = α + β₁·TONE + β₂·TONE×D_overOptim + β₃·D_overOptim + γ′Controls + λ_t + ε</w:t>
      </w:r>
    </w:p>
    <w:p>
      <w:pPr>
        <w:spacing w:after="120" w:line="360" w:lineRule="auto"/>
        <w:ind w:firstLine="480"/>
      </w:pPr>
      <w:r>
        <w:rPr>
          <w:rFonts w:ascii="宋体" w:hAnsi="宋体" w:eastAsia="宋体"/>
          <w:b w:val="0"/>
          <w:sz w:val="24"/>
        </w:rPr>
        <w:t>ROA_{i,t+1} = α + β₁·TONE + β₂·TONE×D_highLev + β₃·D_highLev + γ′Controls + λ_t + ε</w:t>
      </w:r>
    </w:p>
    <w:p>
      <w:pPr>
        <w:spacing w:after="120" w:line="360" w:lineRule="auto"/>
        <w:ind w:firstLine="480"/>
      </w:pPr>
      <w:r>
        <w:rPr>
          <w:rFonts w:ascii="宋体" w:hAnsi="宋体" w:eastAsia="宋体"/>
          <w:b w:val="0"/>
          <w:sz w:val="24"/>
        </w:rPr>
        <w:t>若策略性语调假说成立，交互项系数 β₂ 应显著为负：这意味着语调在"过度乐观"或"高杠杆"样本中的边际预测力更低。采用交互项而非常规的分组回归，是为了保留全部样本的自由度并可直接对系数差异做统计推断。</w:t>
      </w:r>
    </w:p>
    <w:p>
      <w:pPr>
        <w:spacing w:before="200" w:after="160"/>
      </w:pPr>
      <w:r>
        <w:rPr>
          <w:rFonts w:ascii="黑体" w:hAnsi="黑体" w:eastAsia="黑体"/>
          <w:b/>
          <w:sz w:val="28"/>
        </w:rPr>
        <w:t>3 数据来源与处理</w:t>
      </w:r>
    </w:p>
    <w:p>
      <w:pPr>
        <w:spacing w:before="200" w:after="160"/>
      </w:pPr>
      <w:r>
        <w:rPr>
          <w:rFonts w:ascii="黑体" w:hAnsi="黑体" w:eastAsia="黑体"/>
          <w:b/>
          <w:sz w:val="25"/>
        </w:rPr>
        <w:t>3.1 样本选择</w:t>
      </w:r>
    </w:p>
    <w:p>
      <w:pPr>
        <w:spacing w:after="120" w:line="360" w:lineRule="auto"/>
        <w:ind w:firstLine="480"/>
      </w:pPr>
      <w:r>
        <w:rPr>
          <w:rFonts w:ascii="宋体" w:hAnsi="宋体" w:eastAsia="宋体"/>
          <w:b w:val="0"/>
          <w:sz w:val="24"/>
        </w:rPr>
        <w:t>本文选取 40 家非金融 A 股上市公司构成便利样本，覆盖家电、食品饮料、医药、电子、汽车、化工、机械、地产、公用事业、能源等行业。选择标准为：(1) 2018 年前上市，披露连续；(2) 非金融行业（金融企业资产负债结构特殊，ROA 口径不可比）；(3) 关注度较高、公告规范，便于在教学演示的可控规模内完成全流程。便利样本会带来选择性偏差，本文在第 6 章局限部分专门讨论；但就"测度构建流程演示"这一目标而言，行业分散的便利样本足以展示方法的全部环节。</w:t>
      </w:r>
    </w:p>
    <w:p>
      <w:pPr>
        <w:spacing w:after="120" w:line="360" w:lineRule="auto"/>
        <w:ind w:firstLine="480"/>
      </w:pPr>
      <w:r>
        <w:rPr>
          <w:rFonts w:ascii="宋体" w:hAnsi="宋体" w:eastAsia="宋体"/>
          <w:b w:val="0"/>
          <w:sz w:val="24"/>
        </w:rPr>
        <w:t>文本样本为上述公司 2022—2024 三个财年的年度报告原文（PDF），目标数 120 份（40 家 × 3 年）。</w:t>
      </w:r>
      <w:r>
        <w:rPr>
          <w:rFonts w:ascii="宋体" w:hAnsi="宋体" w:eastAsia="宋体"/>
          <w:b/>
          <w:sz w:val="24"/>
        </w:rPr>
        <w:t>实际下载成功 114 份（成功率 95.0%）</w:t>
      </w:r>
      <w:r>
        <w:rPr>
          <w:rFonts w:ascii="宋体" w:hAnsi="宋体" w:eastAsia="宋体"/>
          <w:b w:val="0"/>
          <w:sz w:val="24"/>
        </w:rPr>
        <w:t>，未获取的 6 份为中国石油 2022—2024 年、海螺水泥 2023—2024 年、紫金矿业 2024 年（检索接口未返回对应年报，可能因披露标题变体或接口限流）。经 MD&amp;A 章节抽取后，</w:t>
      </w:r>
      <w:r>
        <w:rPr>
          <w:rFonts w:ascii="宋体" w:hAnsi="宋体" w:eastAsia="宋体"/>
          <w:b/>
          <w:sz w:val="24"/>
        </w:rPr>
        <w:t>成功构建 112 篇文档（占下载数的 98.2%，占目标数的 93.3%）</w:t>
      </w:r>
      <w:r>
        <w:rPr>
          <w:rFonts w:ascii="宋体" w:hAnsi="宋体" w:eastAsia="宋体"/>
          <w:b w:val="0"/>
          <w:sz w:val="24"/>
        </w:rPr>
        <w:t>，失败 2 篇为泸州老窖 2024 年与紫金矿业 2022 年（章节结构异常，未能定位到长度达标的 MD&amp;A 正文）。</w:t>
      </w:r>
    </w:p>
    <w:p>
      <w:pPr>
        <w:spacing w:after="120" w:line="360" w:lineRule="auto"/>
        <w:ind w:firstLine="480"/>
      </w:pPr>
      <w:r>
        <w:rPr>
          <w:rFonts w:ascii="宋体" w:hAnsi="宋体" w:eastAsia="宋体"/>
          <w:b w:val="0"/>
          <w:sz w:val="24"/>
        </w:rPr>
        <w:t xml:space="preserve">财务样本为东方财富数据中心披露的年报口径主要指标（总资产净利率、加权 ROE、资产负债率、营业收入与归母净利润同比增速、营业总收入），取 2022—2025 财年共 480 条记录，以保证 t+1 期被解释变量可得。语调测度与财务指标按（公司代码，财年）匹配后，得到 </w:t>
      </w:r>
      <w:r>
        <w:rPr>
          <w:rFonts w:ascii="宋体" w:hAnsi="宋体" w:eastAsia="宋体"/>
          <w:b/>
          <w:sz w:val="24"/>
        </w:rPr>
        <w:t>112 个企业-年度观测，覆盖 39 家公司</w:t>
      </w:r>
      <w:r>
        <w:rPr>
          <w:rFonts w:ascii="宋体" w:hAnsi="宋体" w:eastAsia="宋体"/>
          <w:b w:val="0"/>
          <w:sz w:val="24"/>
        </w:rPr>
        <w:t>（2022 年 38 个、2023 年 38 个、2024 年 36 个）。被抽取的 MD&amp;A 平均长度 32,629 字（中位数 28,801 字，范围 4,165—59,736 字），平均 1,329 句、8,483 个有效词项，文本体量为语调测度提供了充分的分辨率。</w:t>
      </w:r>
    </w:p>
    <w:p>
      <w:pPr>
        <w:spacing w:before="200" w:after="160"/>
      </w:pPr>
      <w:r>
        <w:rPr>
          <w:rFonts w:ascii="黑体" w:hAnsi="黑体" w:eastAsia="黑体"/>
          <w:b/>
          <w:sz w:val="25"/>
        </w:rPr>
        <w:t>3.2 数据获取与处理流程</w:t>
      </w:r>
    </w:p>
    <w:p>
      <w:pPr>
        <w:spacing w:after="120" w:line="360" w:lineRule="auto"/>
        <w:ind w:firstLine="480"/>
      </w:pPr>
      <w:r>
        <w:rPr>
          <w:rFonts w:ascii="宋体" w:hAnsi="宋体" w:eastAsia="宋体"/>
          <w:b/>
          <w:sz w:val="24"/>
        </w:rPr>
        <w:t>年报原文获取。</w:t>
      </w:r>
      <w:r>
        <w:rPr>
          <w:rFonts w:ascii="宋体" w:hAnsi="宋体" w:eastAsia="宋体"/>
          <w:b w:val="0"/>
          <w:sz w:val="24"/>
        </w:rPr>
        <w:t xml:space="preserve"> 通过巨潮资讯网公开检索接口，按"公司代码 + 财年 + 披露窗口（t+1 年 1—6 月）"定位《年度报告》公告，过滤标题中的摘要、英文版、修订稿、更正公告与问询回复，下载 PDF 原文并逐条记录公告索引与下载状态（文件：</w:t>
      </w:r>
      <w:r>
        <w:rPr>
          <w:rFonts w:ascii="Consolas" w:hAnsi="Consolas" w:eastAsia="Consolas"/>
          <w:b w:val="0"/>
          <w:sz w:val="22"/>
        </w:rPr>
        <w:t>data/raw_index.csv</w:t>
      </w:r>
      <w:r>
        <w:rPr>
          <w:rFonts w:ascii="宋体" w:hAnsi="宋体" w:eastAsia="宋体"/>
          <w:b w:val="0"/>
          <w:sz w:val="24"/>
        </w:rPr>
        <w:t>）。接口要求检索参数中的公司标识为"代码,内部机构 ID"复合格式，本文先获取上市公司基础列表构建该映射并缓存（</w:t>
      </w:r>
      <w:r>
        <w:rPr>
          <w:rFonts w:ascii="Consolas" w:hAnsi="Consolas" w:eastAsia="Consolas"/>
          <w:b w:val="0"/>
          <w:sz w:val="22"/>
        </w:rPr>
        <w:t>data/cninfo_stock_list.json</w:t>
      </w:r>
      <w:r>
        <w:rPr>
          <w:rFonts w:ascii="宋体" w:hAnsi="宋体" w:eastAsia="宋体"/>
          <w:b w:val="0"/>
          <w:sz w:val="24"/>
        </w:rPr>
        <w:t>，含 6,259 条记录），这是本模块的关键工程细节——仅传入证券代码将返回空结果。</w:t>
      </w:r>
    </w:p>
    <w:p>
      <w:pPr>
        <w:spacing w:after="120" w:line="360" w:lineRule="auto"/>
        <w:ind w:firstLine="480"/>
      </w:pPr>
      <w:r>
        <w:rPr>
          <w:rFonts w:ascii="宋体" w:hAnsi="宋体" w:eastAsia="宋体"/>
          <w:b/>
          <w:sz w:val="24"/>
        </w:rPr>
        <w:t>MD&amp;A 章节抽取。</w:t>
      </w:r>
      <w:r>
        <w:rPr>
          <w:rFonts w:ascii="宋体" w:hAnsi="宋体" w:eastAsia="宋体"/>
          <w:b w:val="0"/>
          <w:sz w:val="24"/>
        </w:rPr>
        <w:t xml:space="preserve"> 年报通常将管理层讨论与分析置于"第三节"。本文以正则"第X节"将全文切分为章节块，取标题命中"管理层讨论与分析 / 经营情况讨论与分析 / 董事会报告"三个候选名之一且长度最大的块作为正文（避免误取目录页），再以"第四节"等后续节标题截断。针对实际语料中出现的四类问题，本文逐一设计了对策：</w:t>
      </w:r>
    </w:p>
    <w:p>
      <w:pPr>
        <w:spacing w:after="60" w:line="360" w:lineRule="auto"/>
      </w:pPr>
      <w:r>
        <w:rPr>
          <w:rFonts w:ascii="宋体" w:hAnsi="宋体" w:eastAsia="宋体"/>
          <w:b w:val="0"/>
          <w:sz w:val="24"/>
        </w:rPr>
        <w:t xml:space="preserve">1. </w:t>
      </w:r>
      <w:r>
        <w:rPr>
          <w:rFonts w:ascii="宋体" w:hAnsi="宋体" w:eastAsia="宋体"/>
          <w:b/>
          <w:sz w:val="24"/>
        </w:rPr>
        <w:t>标题名变体</w:t>
      </w:r>
      <w:r>
        <w:rPr>
          <w:rFonts w:ascii="宋体" w:hAnsi="宋体" w:eastAsia="宋体"/>
          <w:b w:val="0"/>
          <w:sz w:val="24"/>
        </w:rPr>
        <w:t>：部分公司（如万科 A、中国船舶）使用"董事会报告"或"经营情况讨论与分析"命名该章节——通过候选名列表解决。</w:t>
      </w:r>
    </w:p>
    <w:p>
      <w:pPr>
        <w:spacing w:after="60" w:line="360" w:lineRule="auto"/>
      </w:pPr>
      <w:r>
        <w:rPr>
          <w:rFonts w:ascii="宋体" w:hAnsi="宋体" w:eastAsia="宋体"/>
          <w:b w:val="0"/>
          <w:sz w:val="24"/>
        </w:rPr>
        <w:t xml:space="preserve">2. </w:t>
      </w:r>
      <w:r>
        <w:rPr>
          <w:rFonts w:ascii="宋体" w:hAnsi="宋体" w:eastAsia="宋体"/>
          <w:b/>
          <w:sz w:val="24"/>
        </w:rPr>
        <w:t>全角空格干扰</w:t>
      </w:r>
      <w:r>
        <w:rPr>
          <w:rFonts w:ascii="宋体" w:hAnsi="宋体" w:eastAsia="宋体"/>
          <w:b w:val="0"/>
          <w:sz w:val="24"/>
        </w:rPr>
        <w:t>：部分 PDF 中标题含全角空格（U+2003、U+3000），导致正则精确匹配失败——在清洗阶段先做空格归一化。</w:t>
      </w:r>
    </w:p>
    <w:p>
      <w:pPr>
        <w:spacing w:after="60" w:line="360" w:lineRule="auto"/>
      </w:pPr>
      <w:r>
        <w:rPr>
          <w:rFonts w:ascii="宋体" w:hAnsi="宋体" w:eastAsia="宋体"/>
          <w:b w:val="0"/>
          <w:sz w:val="24"/>
        </w:rPr>
        <w:t xml:space="preserve">3. </w:t>
      </w:r>
      <w:r>
        <w:rPr>
          <w:rFonts w:ascii="宋体" w:hAnsi="宋体" w:eastAsia="宋体"/>
          <w:b/>
          <w:sz w:val="24"/>
        </w:rPr>
        <w:t>页眉重复导致章节碎片化</w:t>
      </w:r>
      <w:r>
        <w:rPr>
          <w:rFonts w:ascii="宋体" w:hAnsi="宋体" w:eastAsia="宋体"/>
          <w:b w:val="0"/>
          <w:sz w:val="24"/>
        </w:rPr>
        <w:t>：部分报告（如中国建筑）每页页眉重复"第三节 管理层讨论与分析"，使章节被切成 30 余个碎片——通过合并连续同标题块解决（若相邻块标题相同且已有块长度小于 6,000 字符则合并）。</w:t>
      </w:r>
    </w:p>
    <w:p>
      <w:pPr>
        <w:spacing w:after="60" w:line="360" w:lineRule="auto"/>
      </w:pPr>
      <w:r>
        <w:rPr>
          <w:rFonts w:ascii="宋体" w:hAnsi="宋体" w:eastAsia="宋体"/>
          <w:b w:val="0"/>
          <w:sz w:val="24"/>
        </w:rPr>
        <w:t xml:space="preserve">4. </w:t>
      </w:r>
      <w:r>
        <w:rPr>
          <w:rFonts w:ascii="宋体" w:hAnsi="宋体" w:eastAsia="宋体"/>
          <w:b/>
          <w:sz w:val="24"/>
        </w:rPr>
        <w:t>正文交叉引用误判</w:t>
      </w:r>
      <w:r>
        <w:rPr>
          <w:rFonts w:ascii="宋体" w:hAnsi="宋体" w:eastAsia="宋体"/>
          <w:b w:val="0"/>
          <w:sz w:val="24"/>
        </w:rPr>
        <w:t>：部分报告正文中出现"参见第三节 四 2（8）"式的行文引用，被误判为章节标题——通过标题行启发式规则排除（长度大于 32 字符、含句读或"参见/详见"等词的行不算标题）。</w:t>
      </w:r>
    </w:p>
    <w:p>
      <w:pPr>
        <w:spacing w:after="120" w:line="360" w:lineRule="auto"/>
        <w:ind w:firstLine="480"/>
      </w:pPr>
      <w:r>
        <w:rPr>
          <w:rFonts w:ascii="宋体" w:hAnsi="宋体" w:eastAsia="宋体"/>
          <w:b w:val="0"/>
          <w:sz w:val="24"/>
        </w:rPr>
        <w:t>抽取后清理页眉页脚、页码与表格引导符，并设定 2,000—60,000 字符的有效区间（下限保证章节确实为正文，上限截去尾部大段表格）。</w:t>
      </w:r>
    </w:p>
    <w:p>
      <w:pPr>
        <w:spacing w:after="120" w:line="360" w:lineRule="auto"/>
        <w:ind w:firstLine="480"/>
      </w:pPr>
      <w:r>
        <w:rPr>
          <w:rFonts w:ascii="宋体" w:hAnsi="宋体" w:eastAsia="宋体"/>
          <w:b/>
          <w:sz w:val="24"/>
        </w:rPr>
        <w:t>分词。</w:t>
      </w:r>
      <w:r>
        <w:rPr>
          <w:rFonts w:ascii="宋体" w:hAnsi="宋体" w:eastAsia="宋体"/>
          <w:b w:val="0"/>
          <w:sz w:val="24"/>
        </w:rPr>
        <w:t xml:space="preserve"> jieba 精确模式分词，去停用词与单字词，保留长度 ≥2 的词项。分词结果的</w:t>
      </w:r>
      <w:r>
        <w:rPr>
          <w:rFonts w:ascii="宋体" w:hAnsi="宋体" w:eastAsia="宋体"/>
          <w:b/>
          <w:sz w:val="24"/>
        </w:rPr>
        <w:t>句级版本</w:t>
      </w:r>
      <w:r>
        <w:rPr>
          <w:rFonts w:ascii="宋体" w:hAnsi="宋体" w:eastAsia="宋体"/>
          <w:b w:val="0"/>
          <w:sz w:val="24"/>
        </w:rPr>
        <w:t>（每句单独分词）与</w:t>
      </w:r>
      <w:r>
        <w:rPr>
          <w:rFonts w:ascii="宋体" w:hAnsi="宋体" w:eastAsia="宋体"/>
          <w:b/>
          <w:sz w:val="24"/>
        </w:rPr>
        <w:t>整篇版本</w:t>
      </w:r>
      <w:r>
        <w:rPr>
          <w:rFonts w:ascii="宋体" w:hAnsi="宋体" w:eastAsia="宋体"/>
          <w:b w:val="0"/>
          <w:sz w:val="24"/>
        </w:rPr>
        <w:t>同时保存，前者用于句级语调与分半信度计算，后者用于整篇词频统计。这一设计是必要的：若仅保存未分词的原始句子并在后续模块按空格切分，整句会被当作单一"词项"，情感词将永远无法命中——这是本文在实现过程中修正的一个关键缺陷。</w:t>
      </w:r>
    </w:p>
    <w:p>
      <w:pPr>
        <w:spacing w:after="120" w:line="360" w:lineRule="auto"/>
        <w:ind w:firstLine="480"/>
      </w:pPr>
      <w:r>
        <w:rPr>
          <w:rFonts w:ascii="宋体" w:hAnsi="宋体" w:eastAsia="宋体"/>
          <w:b/>
          <w:sz w:val="24"/>
        </w:rPr>
        <w:t>财务指标获取。</w:t>
      </w:r>
      <w:r>
        <w:rPr>
          <w:rFonts w:ascii="宋体" w:hAnsi="宋体" w:eastAsia="宋体"/>
          <w:b w:val="0"/>
          <w:sz w:val="24"/>
        </w:rPr>
        <w:t xml:space="preserve"> 调用东方财富数据中心接口（reportName=RPT_F10_FINANCE_MAINFINADATA，REPORT_TYPE=年报），提取 ZZCJLL（总资产净利率）、ROEJQ（加权 ROE）、ZCFZL（资产负债率）、TOTALOPERATEREVETZ（营业收入同比）、PARENTNETPROFITTZ（归母净利润同比）等字段，与文本按（公司代码，财年）合并。</w:t>
      </w:r>
    </w:p>
    <w:p>
      <w:pPr>
        <w:spacing w:after="120" w:line="360" w:lineRule="auto"/>
        <w:ind w:firstLine="480"/>
      </w:pPr>
      <w:r>
        <w:rPr>
          <w:rFonts w:ascii="宋体" w:hAnsi="宋体" w:eastAsia="宋体"/>
          <w:b/>
          <w:sz w:val="24"/>
        </w:rPr>
        <w:t>面板构建。</w:t>
      </w:r>
      <w:r>
        <w:rPr>
          <w:rFonts w:ascii="宋体" w:hAnsi="宋体" w:eastAsia="宋体"/>
          <w:b w:val="0"/>
          <w:sz w:val="24"/>
        </w:rPr>
        <w:t xml:space="preserve"> 按公司、财年排序后，从财务表直接取（公司代码，财年 + 1）的 ROA/ROE 构造 roa_next、roe_next（财务表已多取两年，故 2024 财年的 t+1 被解释变量可得；此处未使用组内 shift(-1)，因为面板本身不含 2025 年行）。对连续变量做上下 1% 缩尾，缩尾前取值存入 </w:t>
      </w:r>
      <w:r>
        <w:rPr>
          <w:rFonts w:ascii="Consolas" w:hAnsi="Consolas" w:eastAsia="Consolas"/>
          <w:b w:val="0"/>
          <w:sz w:val="22"/>
        </w:rPr>
        <w:t>*_raw</w:t>
      </w:r>
      <w:r>
        <w:rPr>
          <w:rFonts w:ascii="宋体" w:hAnsi="宋体" w:eastAsia="宋体"/>
          <w:b w:val="0"/>
          <w:sz w:val="24"/>
        </w:rPr>
        <w:t xml:space="preserve"> 列备查。构造两个分组变量：D_overOptim（语调超出同年横截面均值 1 个标准差）、D_highLev（杠杆高于样本中位数）。全部处理由 </w:t>
      </w:r>
      <w:r>
        <w:rPr>
          <w:rFonts w:ascii="Consolas" w:hAnsi="Consolas" w:eastAsia="Consolas"/>
          <w:b w:val="0"/>
          <w:sz w:val="22"/>
        </w:rPr>
        <w:t>code/04_merge_panel.py</w:t>
      </w:r>
      <w:r>
        <w:rPr>
          <w:rFonts w:ascii="宋体" w:hAnsi="宋体" w:eastAsia="宋体"/>
          <w:b w:val="0"/>
          <w:sz w:val="24"/>
        </w:rPr>
        <w:t xml:space="preserve"> 完成，输出核心交付表 </w:t>
      </w:r>
      <w:r>
        <w:rPr>
          <w:rFonts w:ascii="Consolas" w:hAnsi="Consolas" w:eastAsia="Consolas"/>
          <w:b w:val="0"/>
          <w:sz w:val="22"/>
        </w:rPr>
        <w:t>output/tone_panel.csv</w:t>
      </w:r>
      <w:r>
        <w:rPr>
          <w:rFonts w:ascii="宋体" w:hAnsi="宋体" w:eastAsia="宋体"/>
          <w:b w:val="0"/>
          <w:sz w:val="24"/>
        </w:rPr>
        <w:t>。</w:t>
      </w:r>
    </w:p>
    <w:p>
      <w:pPr>
        <w:spacing w:after="120" w:line="360" w:lineRule="auto"/>
        <w:ind w:firstLine="480"/>
      </w:pPr>
      <w:r>
        <w:rPr>
          <w:rFonts w:ascii="宋体" w:hAnsi="宋体" w:eastAsia="宋体"/>
          <w:b/>
          <w:sz w:val="24"/>
        </w:rPr>
        <w:t>关于数据真实性的说明（重要）。</w:t>
      </w:r>
      <w:r>
        <w:rPr>
          <w:rFonts w:ascii="宋体" w:hAnsi="宋体" w:eastAsia="宋体"/>
          <w:b w:val="0"/>
          <w:sz w:val="24"/>
        </w:rPr>
        <w:t xml:space="preserve"> 本文</w:t>
      </w:r>
      <w:r>
        <w:rPr>
          <w:rFonts w:ascii="宋体" w:hAnsi="宋体" w:eastAsia="宋体"/>
          <w:b/>
          <w:sz w:val="24"/>
        </w:rPr>
        <w:t>未使用任何模拟数据或生成式数据</w:t>
      </w:r>
      <w:r>
        <w:rPr>
          <w:rFonts w:ascii="宋体" w:hAnsi="宋体" w:eastAsia="宋体"/>
          <w:b w:val="0"/>
          <w:sz w:val="24"/>
        </w:rPr>
        <w:t>。语调测度所依据的语料是巨潮资讯网公开披露的年报 PDF 原文，财务变量是东方财富数据中心披露的真实经营指标，两者均可通过公开渠道复现。唯一的自建材料是情感词典，但词典属于</w:t>
      </w:r>
      <w:r>
        <w:rPr>
          <w:rFonts w:ascii="宋体" w:hAnsi="宋体" w:eastAsia="宋体"/>
          <w:b/>
          <w:sz w:val="24"/>
        </w:rPr>
        <w:t>测量工具</w:t>
      </w:r>
      <w:r>
        <w:rPr>
          <w:rFonts w:ascii="宋体" w:hAnsi="宋体" w:eastAsia="宋体"/>
          <w:b w:val="0"/>
          <w:sz w:val="24"/>
        </w:rPr>
        <w:t>而非数据，且已以纯文本形式随代码公开、可被任意第三方词表替换。本文不再对语料做任何人工改写或溢出填充，缺失观测一律以缺失值处理并在样本筛选时剔除。</w:t>
      </w:r>
    </w:p>
    <w:p>
      <w:pPr>
        <w:spacing w:before="200" w:after="160"/>
      </w:pPr>
      <w:r>
        <w:rPr>
          <w:rFonts w:ascii="黑体" w:hAnsi="黑体" w:eastAsia="黑体"/>
          <w:b/>
          <w:sz w:val="25"/>
        </w:rPr>
        <w:t>3.3 数据来源说明（逐文件一句话）</w:t>
      </w:r>
    </w:p>
    <w:p>
      <w:pPr>
        <w:spacing w:after="120" w:line="360" w:lineRule="auto"/>
        <w:ind w:firstLine="480"/>
      </w:pPr>
      <w:r>
        <w:rPr>
          <w:rFonts w:ascii="宋体" w:hAnsi="宋体" w:eastAsia="宋体"/>
          <w:b/>
          <w:sz w:val="24"/>
        </w:rPr>
        <w:t>表 2  数据、代码与图表文件清单及来源说明</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宋体" w:hAnsi="宋体" w:eastAsia="宋体"/>
                <w:b/>
                <w:sz w:val="21"/>
              </w:rPr>
              <w:t>文件</w:t>
            </w:r>
          </w:p>
        </w:tc>
        <w:tc>
          <w:tcPr>
            <w:tcW w:type="dxa" w:w="4320"/>
          </w:tcPr>
          <w:p>
            <w:pPr>
              <w:jc w:val="center"/>
            </w:pPr>
            <w:r/>
            <w:r>
              <w:rPr>
                <w:rFonts w:ascii="宋体" w:hAnsi="宋体" w:eastAsia="宋体"/>
                <w:b/>
                <w:sz w:val="21"/>
              </w:rPr>
              <w:t>来源与处理步骤（一句话）</w:t>
            </w:r>
          </w:p>
        </w:tc>
      </w:tr>
      <w:tr>
        <w:tc>
          <w:tcPr>
            <w:tcW w:type="dxa" w:w="4320"/>
          </w:tcPr>
          <w:p>
            <w:r/>
            <w:r>
              <w:rPr>
                <w:rFonts w:ascii="宋体" w:hAnsi="宋体" w:eastAsia="宋体"/>
                <w:b w:val="0"/>
                <w:sz w:val="21"/>
              </w:rPr>
              <w:t>`data/raw_index.csv`</w:t>
            </w:r>
          </w:p>
        </w:tc>
        <w:tc>
          <w:tcPr>
            <w:tcW w:type="dxa" w:w="4320"/>
          </w:tcPr>
          <w:p>
            <w:r/>
            <w:r>
              <w:rPr>
                <w:rFonts w:ascii="宋体" w:hAnsi="宋体" w:eastAsia="宋体"/>
                <w:b w:val="0"/>
                <w:sz w:val="21"/>
              </w:rPr>
              <w:t>巨潮资讯网公告检索接口按"公司代码 + 财年 + 披露窗口"检索《年度报告》所得的公告索引（代码、简称、财年、标题、PDF 相对地址），由 `code/01_download_reports.py` 生成。</w:t>
            </w:r>
          </w:p>
        </w:tc>
      </w:tr>
      <w:tr>
        <w:tc>
          <w:tcPr>
            <w:tcW w:type="dxa" w:w="4320"/>
          </w:tcPr>
          <w:p>
            <w:r/>
            <w:r>
              <w:rPr>
                <w:rFonts w:ascii="宋体" w:hAnsi="宋体" w:eastAsia="宋体"/>
                <w:b w:val="0"/>
                <w:sz w:val="21"/>
              </w:rPr>
              <w:t>`data/cninfo_stock_list.json`</w:t>
            </w:r>
          </w:p>
        </w:tc>
        <w:tc>
          <w:tcPr>
            <w:tcW w:type="dxa" w:w="4320"/>
          </w:tcPr>
          <w:p>
            <w:r/>
            <w:r>
              <w:rPr>
                <w:rFonts w:ascii="宋体" w:hAnsi="宋体" w:eastAsia="宋体"/>
                <w:b w:val="0"/>
                <w:sz w:val="21"/>
              </w:rPr>
              <w:t>巨潮资讯网公开的上市公司基础列表（代码与内部机构 ID 映射，6,259 条），用于拼接检索参数中的 "代码,orgId" 复合标识，由 `01_download_reports.py` 缓存。</w:t>
            </w:r>
          </w:p>
        </w:tc>
      </w:tr>
      <w:tr>
        <w:tc>
          <w:tcPr>
            <w:tcW w:type="dxa" w:w="4320"/>
          </w:tcPr>
          <w:p>
            <w:r/>
            <w:r>
              <w:rPr>
                <w:rFonts w:ascii="宋体" w:hAnsi="宋体" w:eastAsia="宋体"/>
                <w:b w:val="0"/>
                <w:sz w:val="21"/>
              </w:rPr>
              <w:t>`data/reports/*.pdf`</w:t>
            </w:r>
          </w:p>
        </w:tc>
        <w:tc>
          <w:tcPr>
            <w:tcW w:type="dxa" w:w="4320"/>
          </w:tcPr>
          <w:p>
            <w:r/>
            <w:r>
              <w:rPr>
                <w:rFonts w:ascii="宋体" w:hAnsi="宋体" w:eastAsia="宋体"/>
                <w:b w:val="0"/>
                <w:sz w:val="21"/>
              </w:rPr>
              <w:t>巨潮资讯网静态文件站点下载的 114 份年报 PDF 原文，即上表公告索引中 PDF 地址字段指向的文件；因体积较大未纳入版本库，可由 `01_download_reports.py` 一键重建。</w:t>
            </w:r>
          </w:p>
        </w:tc>
      </w:tr>
      <w:tr>
        <w:tc>
          <w:tcPr>
            <w:tcW w:type="dxa" w:w="4320"/>
          </w:tcPr>
          <w:p>
            <w:r/>
            <w:r>
              <w:rPr>
                <w:rFonts w:ascii="宋体" w:hAnsi="宋体" w:eastAsia="宋体"/>
                <w:b w:val="0"/>
                <w:sz w:val="21"/>
              </w:rPr>
              <w:t>`data/financials_raw.csv`</w:t>
            </w:r>
          </w:p>
        </w:tc>
        <w:tc>
          <w:tcPr>
            <w:tcW w:type="dxa" w:w="4320"/>
          </w:tcPr>
          <w:p>
            <w:r/>
            <w:r>
              <w:rPr>
                <w:rFonts w:ascii="宋体" w:hAnsi="宋体" w:eastAsia="宋体"/>
                <w:b w:val="0"/>
                <w:sz w:val="21"/>
              </w:rPr>
              <w:t>东方财富数据中心 F10 主要指标接口（年报口径，480 条记录）返回的总资产净利率、加权 ROE、资产负债率、营收与归母净利同比增速、营业总收入等原始财务记录，由 `01_download_reports.py` 获取。</w:t>
            </w:r>
          </w:p>
        </w:tc>
      </w:tr>
      <w:tr>
        <w:tc>
          <w:tcPr>
            <w:tcW w:type="dxa" w:w="4320"/>
          </w:tcPr>
          <w:p>
            <w:r/>
            <w:r>
              <w:rPr>
                <w:rFonts w:ascii="宋体" w:hAnsi="宋体" w:eastAsia="宋体"/>
                <w:b w:val="0"/>
                <w:sz w:val="21"/>
              </w:rPr>
              <w:t>`data/mdna_corpus.csv`</w:t>
            </w:r>
          </w:p>
        </w:tc>
        <w:tc>
          <w:tcPr>
            <w:tcW w:type="dxa" w:w="4320"/>
          </w:tcPr>
          <w:p>
            <w:r/>
            <w:r>
              <w:rPr>
                <w:rFonts w:ascii="宋体" w:hAnsi="宋体" w:eastAsia="宋体"/>
                <w:b w:val="0"/>
                <w:sz w:val="21"/>
              </w:rPr>
              <w:t>对 114 份年报 PDF 用 PyMuPDF 抽取全文、按"第X节"定位并清洗出 MD&amp;A 章节、经 jieba 分词后得到的 112 篇语料表（含整篇词序列、句级词序列与字符数统计），由 `code/02_text_preprocess.py` 生成。</w:t>
            </w:r>
          </w:p>
        </w:tc>
      </w:tr>
      <w:tr>
        <w:tc>
          <w:tcPr>
            <w:tcW w:type="dxa" w:w="4320"/>
          </w:tcPr>
          <w:p>
            <w:r/>
            <w:r>
              <w:rPr>
                <w:rFonts w:ascii="宋体" w:hAnsi="宋体" w:eastAsia="宋体"/>
                <w:b w:val="0"/>
                <w:sz w:val="21"/>
              </w:rPr>
              <w:t>`data/measures.csv`</w:t>
            </w:r>
          </w:p>
        </w:tc>
        <w:tc>
          <w:tcPr>
            <w:tcW w:type="dxa" w:w="4320"/>
          </w:tcPr>
          <w:p>
            <w:r/>
            <w:r>
              <w:rPr>
                <w:rFonts w:ascii="宋体" w:hAnsi="宋体" w:eastAsia="宋体"/>
                <w:b w:val="0"/>
                <w:sz w:val="21"/>
              </w:rPr>
              <w:t>在语料表上按词典法（含否定词翻转与程度副词加权）与弱监督机器学习法（TF-IDF + 逻辑回归）计算的三套语调测度及分半语调分量，由 `code/03_build_measures.py` 生成。</w:t>
            </w:r>
          </w:p>
        </w:tc>
      </w:tr>
      <w:tr>
        <w:tc>
          <w:tcPr>
            <w:tcW w:type="dxa" w:w="4320"/>
          </w:tcPr>
          <w:p>
            <w:r/>
            <w:r>
              <w:rPr>
                <w:rFonts w:ascii="宋体" w:hAnsi="宋体" w:eastAsia="宋体"/>
                <w:b w:val="0"/>
                <w:sz w:val="21"/>
              </w:rPr>
              <w:t>`code/lexicon/*.txt`</w:t>
            </w:r>
          </w:p>
        </w:tc>
        <w:tc>
          <w:tcPr>
            <w:tcW w:type="dxa" w:w="4320"/>
          </w:tcPr>
          <w:p>
            <w:r/>
            <w:r>
              <w:rPr>
                <w:rFonts w:ascii="宋体" w:hAnsi="宋体" w:eastAsia="宋体"/>
                <w:b w:val="0"/>
                <w:sz w:val="21"/>
              </w:rPr>
              <w:t>本文自建的中文金融情感子词典（正面 209 条、负面 188 条、否定 31 条、程度副词 66 条），属测量工具，可整体替换为外部词典。</w:t>
            </w:r>
          </w:p>
        </w:tc>
      </w:tr>
      <w:tr>
        <w:tc>
          <w:tcPr>
            <w:tcW w:type="dxa" w:w="4320"/>
          </w:tcPr>
          <w:p>
            <w:r/>
            <w:r>
              <w:rPr>
                <w:rFonts w:ascii="宋体" w:hAnsi="宋体" w:eastAsia="宋体"/>
                <w:b w:val="0"/>
                <w:sz w:val="21"/>
              </w:rPr>
              <w:t>`output/tone_panel.csv`</w:t>
            </w:r>
          </w:p>
        </w:tc>
        <w:tc>
          <w:tcPr>
            <w:tcW w:type="dxa" w:w="4320"/>
          </w:tcPr>
          <w:p>
            <w:r/>
            <w:r>
              <w:rPr>
                <w:rFonts w:ascii="宋体" w:hAnsi="宋体" w:eastAsia="宋体"/>
                <w:b w:val="0"/>
                <w:sz w:val="21"/>
              </w:rPr>
              <w:t>语调测度与真实财务指标按（公司代码，财年）合并、构造 t+1 期被解释变量并做 1% 缩尾后的 112 行企业-年度面板，即回归分析的直接输入，由 `code/04_merge_panel.py` 生成。</w:t>
            </w:r>
          </w:p>
        </w:tc>
      </w:tr>
      <w:tr>
        <w:tc>
          <w:tcPr>
            <w:tcW w:type="dxa" w:w="4320"/>
          </w:tcPr>
          <w:p>
            <w:r/>
            <w:r>
              <w:rPr>
                <w:rFonts w:ascii="宋体" w:hAnsi="宋体" w:eastAsia="宋体"/>
                <w:b w:val="0"/>
                <w:sz w:val="21"/>
              </w:rPr>
              <w:t>`output/tables/*.csv`</w:t>
            </w:r>
          </w:p>
        </w:tc>
        <w:tc>
          <w:tcPr>
            <w:tcW w:type="dxa" w:w="4320"/>
          </w:tcPr>
          <w:p>
            <w:r/>
            <w:r>
              <w:rPr>
                <w:rFonts w:ascii="宋体" w:hAnsi="宋体" w:eastAsia="宋体"/>
                <w:b w:val="0"/>
                <w:sz w:val="21"/>
              </w:rPr>
              <w:t>信效度检验、描述性统计、相关系数矩阵、基准回归、交互项检验、稳健性检验与安慰剂检验的结果表，由 `code/03`、`05`、`06` 三个模块生成，论文中所有数字均直接取自这些文件。</w:t>
            </w:r>
          </w:p>
        </w:tc>
      </w:tr>
      <w:tr>
        <w:tc>
          <w:tcPr>
            <w:tcW w:type="dxa" w:w="4320"/>
          </w:tcPr>
          <w:p>
            <w:r/>
            <w:r>
              <w:rPr>
                <w:rFonts w:ascii="宋体" w:hAnsi="宋体" w:eastAsia="宋体"/>
                <w:b w:val="0"/>
                <w:sz w:val="21"/>
              </w:rPr>
              <w:t>`output/figures/*.png`</w:t>
            </w:r>
          </w:p>
        </w:tc>
        <w:tc>
          <w:tcPr>
            <w:tcW w:type="dxa" w:w="4320"/>
          </w:tcPr>
          <w:p>
            <w:r/>
            <w:r>
              <w:rPr>
                <w:rFonts w:ascii="宋体" w:hAnsi="宋体" w:eastAsia="宋体"/>
                <w:b w:val="0"/>
                <w:sz w:val="21"/>
              </w:rPr>
              <w:t>由面板数据绘制的语调分布图、年度趋势图、语调-业绩散点图、安慰剂分布图、交互项系数图与稳健性 Forest 图，由 `code/05`、`06` 生成。</w:t>
            </w:r>
          </w:p>
        </w:tc>
      </w:tr>
    </w:tbl>
    <w:p>
      <w:pPr>
        <w:spacing w:before="200" w:after="160"/>
      </w:pPr>
      <w:r>
        <w:rPr>
          <w:rFonts w:ascii="黑体" w:hAnsi="黑体" w:eastAsia="黑体"/>
          <w:b/>
          <w:sz w:val="28"/>
        </w:rPr>
        <w:t>4 实证方案</w:t>
      </w:r>
    </w:p>
    <w:p>
      <w:pPr>
        <w:spacing w:before="200" w:after="160"/>
      </w:pPr>
      <w:r>
        <w:rPr>
          <w:rFonts w:ascii="黑体" w:hAnsi="黑体" w:eastAsia="黑体"/>
          <w:b/>
          <w:sz w:val="25"/>
        </w:rPr>
        <w:t>4.1 识别策略与模型设定</w:t>
      </w:r>
    </w:p>
    <w:p>
      <w:pPr>
        <w:spacing w:after="120" w:line="360" w:lineRule="auto"/>
        <w:ind w:firstLine="480"/>
      </w:pPr>
      <w:r>
        <w:rPr>
          <w:rFonts w:ascii="宋体" w:hAnsi="宋体" w:eastAsia="宋体"/>
          <w:b w:val="0"/>
          <w:sz w:val="24"/>
        </w:rPr>
        <w:t>本文的核心识别目标是：</w:t>
      </w:r>
      <w:r>
        <w:rPr>
          <w:rFonts w:ascii="宋体" w:hAnsi="宋体" w:eastAsia="宋体"/>
          <w:b/>
          <w:sz w:val="24"/>
        </w:rPr>
        <w:t>在控制企业当期基本面之后，MD&amp;A 语调是否仍与未来一期经营业绩相关。</w:t>
      </w:r>
      <w:r>
        <w:rPr>
          <w:rFonts w:ascii="宋体" w:hAnsi="宋体" w:eastAsia="宋体"/>
          <w:b w:val="0"/>
          <w:sz w:val="24"/>
        </w:rPr>
        <w:t xml:space="preserve"> 这一目标天然无法通过随机实验实现（语调不可被外生指派），因此本文采用"滞后解释变量 + 双向固定效应"的准实验设计，其识别逻辑如下。</w:t>
      </w:r>
    </w:p>
    <w:p>
      <w:pPr>
        <w:spacing w:after="120" w:line="360" w:lineRule="auto"/>
        <w:ind w:firstLine="480"/>
      </w:pPr>
      <w:r>
        <w:rPr>
          <w:rFonts w:ascii="宋体" w:hAnsi="宋体" w:eastAsia="宋体"/>
          <w:b w:val="0"/>
          <w:sz w:val="24"/>
        </w:rPr>
        <w:t>第一，</w:t>
      </w:r>
      <w:r>
        <w:rPr>
          <w:rFonts w:ascii="宋体" w:hAnsi="宋体" w:eastAsia="宋体"/>
          <w:b/>
          <w:sz w:val="24"/>
        </w:rPr>
        <w:t>时序上的前定关系</w:t>
      </w:r>
      <w:r>
        <w:rPr>
          <w:rFonts w:ascii="宋体" w:hAnsi="宋体" w:eastAsia="宋体"/>
          <w:b w:val="0"/>
          <w:sz w:val="24"/>
        </w:rPr>
        <w:t>。解释变量为 t 财年的语调（t+1 年 1—6 月披露），被解释变量为 t+1 财年的 ROA，解释变量在时序上先于被解释变量且已公开可得，排除了反向因果的最直接形式。第二，</w:t>
      </w:r>
      <w:r>
        <w:rPr>
          <w:rFonts w:ascii="宋体" w:hAnsi="宋体" w:eastAsia="宋体"/>
          <w:b/>
          <w:sz w:val="24"/>
        </w:rPr>
        <w:t>公司固定效应</w:t>
      </w:r>
      <w:r>
        <w:rPr>
          <w:rFonts w:ascii="宋体" w:hAnsi="宋体" w:eastAsia="宋体"/>
          <w:b w:val="0"/>
          <w:sz w:val="24"/>
        </w:rPr>
        <w:t>吸收一切不随时间变化的公司特征，包括行业属性、股权性质、商业模式、公司治理传统等，从而排除"某些公司天生更乐观且天生更赚钱"这一混淆机制。第三，</w:t>
      </w:r>
      <w:r>
        <w:rPr>
          <w:rFonts w:ascii="宋体" w:hAnsi="宋体" w:eastAsia="宋体"/>
          <w:b/>
          <w:sz w:val="24"/>
        </w:rPr>
        <w:t>年度固定效应</w:t>
      </w:r>
      <w:r>
        <w:rPr>
          <w:rFonts w:ascii="宋体" w:hAnsi="宋体" w:eastAsia="宋体"/>
          <w:b w:val="0"/>
          <w:sz w:val="24"/>
        </w:rPr>
        <w:t>吸收宏观经济波动、市场整体景气度与政策冲击，排除"语调与业绩因共同宏观周期而同向变动"这一混淆机制。第四，</w:t>
      </w:r>
      <w:r>
        <w:rPr>
          <w:rFonts w:ascii="宋体" w:hAnsi="宋体" w:eastAsia="宋体"/>
          <w:b/>
          <w:sz w:val="24"/>
        </w:rPr>
        <w:t>控制变量</w:t>
      </w:r>
      <w:r>
        <w:rPr>
          <w:rFonts w:ascii="宋体" w:hAnsi="宋体" w:eastAsia="宋体"/>
          <w:b w:val="0"/>
          <w:sz w:val="24"/>
        </w:rPr>
        <w:t>（规模、杠杆、成长性）吸收企业基本面中与语调相关的可观测部分。</w:t>
      </w:r>
    </w:p>
    <w:p>
      <w:pPr>
        <w:spacing w:after="120" w:line="360" w:lineRule="auto"/>
        <w:ind w:firstLine="480"/>
      </w:pPr>
      <w:r>
        <w:rPr>
          <w:rFonts w:ascii="宋体" w:hAnsi="宋体" w:eastAsia="宋体"/>
          <w:b w:val="0"/>
          <w:sz w:val="24"/>
        </w:rPr>
        <w:t>在此基础上，本文通过模型 (3) 加入当期 ROA，把 H1（相关性）收紧为 H2（增量信息）：只有当期业绩无法解释的那部分语调变异仍具预测力，语调才真正"携带新信息"。同时，本文用模型 (4) 的公司固定效应设定作为压力测试——若语调的全部预测力都来自公司间截面差异（例如"业绩好的公司普遍语调更积极"），那么在公司固定效应吸收截面变异后系数应当消失。这一结果无论正负都具有明确的解释价值。</w:t>
      </w:r>
    </w:p>
    <w:p>
      <w:pPr>
        <w:spacing w:after="120" w:line="360" w:lineRule="auto"/>
        <w:ind w:firstLine="480"/>
      </w:pPr>
      <w:r>
        <w:rPr>
          <w:rFonts w:ascii="宋体" w:hAnsi="宋体" w:eastAsia="宋体"/>
          <w:b w:val="0"/>
          <w:sz w:val="24"/>
        </w:rPr>
        <w:t>需要说明的是，双向固定效应 + 滞后解释变量的设计仍不能完全排除内生性。治理质量高的公司可能同时披露更透明的文本与实现更好的业绩，而治理质量在短样本期内可被视为时不变，已被公司固定效应吸收；但若治理质量在样本期内发生变化，则该渠道无法排除。因此本文的解释定位于</w:t>
      </w:r>
      <w:r>
        <w:rPr>
          <w:rFonts w:ascii="宋体" w:hAnsi="宋体" w:eastAsia="宋体"/>
          <w:b/>
          <w:sz w:val="24"/>
        </w:rPr>
        <w:t>"条件相关性"而非严格因果效应</w:t>
      </w:r>
      <w:r>
        <w:rPr>
          <w:rFonts w:ascii="宋体" w:hAnsi="宋体" w:eastAsia="宋体"/>
          <w:b w:val="0"/>
          <w:sz w:val="24"/>
        </w:rPr>
        <w:t>，这一点在第 6 章局限部分再次强调。</w:t>
      </w:r>
    </w:p>
    <w:p>
      <w:pPr>
        <w:spacing w:before="200" w:after="160"/>
      </w:pPr>
      <w:r>
        <w:rPr>
          <w:rFonts w:ascii="黑体" w:hAnsi="黑体" w:eastAsia="黑体"/>
          <w:b/>
          <w:sz w:val="25"/>
        </w:rPr>
        <w:t>4.2 关键参数与检验统计量</w:t>
      </w:r>
    </w:p>
    <w:p>
      <w:pPr>
        <w:spacing w:after="120" w:line="360" w:lineRule="auto"/>
        <w:ind w:firstLine="480"/>
      </w:pPr>
      <w:r>
        <w:rPr>
          <w:rFonts w:ascii="宋体" w:hAnsi="宋体" w:eastAsia="宋体"/>
          <w:b w:val="0"/>
          <w:sz w:val="24"/>
        </w:rPr>
        <w:t>模型估计采用普通最小二乘（OLS），公司固定效应与年度固定效应以虚拟变量法直接纳入设计矩阵。标准误采用</w:t>
      </w:r>
      <w:r>
        <w:rPr>
          <w:rFonts w:ascii="宋体" w:hAnsi="宋体" w:eastAsia="宋体"/>
          <w:b/>
          <w:sz w:val="24"/>
        </w:rPr>
        <w:t>公司层面聚类稳健标准误</w:t>
      </w:r>
      <w:r>
        <w:rPr>
          <w:rFonts w:ascii="宋体" w:hAnsi="宋体" w:eastAsia="宋体"/>
          <w:b w:val="0"/>
          <w:sz w:val="24"/>
        </w:rPr>
        <w:t>（cluster-robust standard errors），原因是同一公司的残差在不同年度之间存在相关性（例如持续的经营风格），若使用普通标准误会低估参数不确定性并高估显著性。鉴于本文公司数为 39 家，聚类数量略低于通常建议的 40 家经验门槛，本文在稳健性部分额外报告</w:t>
      </w:r>
      <w:r>
        <w:rPr>
          <w:rFonts w:ascii="宋体" w:hAnsi="宋体" w:eastAsia="宋体"/>
          <w:b/>
          <w:sz w:val="24"/>
        </w:rPr>
        <w:t>安慰剂置换 p 值</w:t>
      </w:r>
      <w:r>
        <w:rPr>
          <w:rFonts w:ascii="宋体" w:hAnsi="宋体" w:eastAsia="宋体"/>
          <w:b w:val="0"/>
          <w:sz w:val="24"/>
        </w:rPr>
        <w:t>作为不依赖渐近分布假定的补充推断依据。</w:t>
      </w:r>
    </w:p>
    <w:p>
      <w:pPr>
        <w:spacing w:after="120" w:line="360" w:lineRule="auto"/>
        <w:ind w:firstLine="480"/>
      </w:pPr>
      <w:r>
        <w:rPr>
          <w:rFonts w:ascii="宋体" w:hAnsi="宋体" w:eastAsia="宋体"/>
          <w:b w:val="0"/>
          <w:sz w:val="24"/>
        </w:rPr>
        <w:t>显著性判定采用星号体系（</w:t>
      </w:r>
      <w:r>
        <w:rPr>
          <w:rFonts w:ascii="宋体" w:hAnsi="宋体" w:eastAsia="宋体"/>
          <w:b/>
          <w:sz w:val="24"/>
        </w:rPr>
        <w:t>* p&lt;0.01，</w:t>
      </w:r>
      <w:r>
        <w:rPr>
          <w:rFonts w:ascii="宋体" w:hAnsi="宋体" w:eastAsia="宋体"/>
          <w:b w:val="0"/>
          <w:sz w:val="24"/>
        </w:rPr>
        <w:t xml:space="preserve"> p&lt;0.05，* p&lt;0.1），同时报告 t 值、p 值与 95% 置信区间所对应的标准误，以避免仅依赖星号判断。模型拟合优度报告 R² 与调整 R²；由于包含大量公司虚拟变量，模型 (4) 的 R² 会显著偏高，这属于固定效应吸收效应的正常表现，不构成模型优劣的判据，因此本文对四个模型的比较主要依据语调系数的稳定性而非 R² 的大小。</w:t>
      </w:r>
    </w:p>
    <w:p>
      <w:pPr>
        <w:spacing w:before="200" w:after="160"/>
      </w:pPr>
      <w:r>
        <w:rPr>
          <w:rFonts w:ascii="黑体" w:hAnsi="黑体" w:eastAsia="黑体"/>
          <w:b/>
          <w:sz w:val="25"/>
        </w:rPr>
        <w:t>4.3 稳健性检验设计</w:t>
      </w:r>
    </w:p>
    <w:p>
      <w:pPr>
        <w:spacing w:after="120" w:line="360" w:lineRule="auto"/>
        <w:ind w:firstLine="480"/>
      </w:pPr>
      <w:r>
        <w:rPr>
          <w:rFonts w:ascii="宋体" w:hAnsi="宋体" w:eastAsia="宋体"/>
          <w:b w:val="0"/>
          <w:sz w:val="24"/>
        </w:rPr>
        <w:t>本文设计五组稳健性检验，每一组针对结论的一个潜在脆弱点。稳健性检验以两个"主设定"为基准，避免用已被公司固定效应吸收掉截面变异的设定作对照：</w:t>
      </w:r>
    </w:p>
    <w:p>
      <w:pPr>
        <w:spacing w:after="60" w:line="360" w:lineRule="auto"/>
      </w:pPr>
      <w:r>
        <w:rPr>
          <w:rFonts w:ascii="宋体" w:hAnsi="宋体" w:eastAsia="宋体"/>
          <w:b w:val="0"/>
          <w:sz w:val="24"/>
        </w:rPr>
        <w:t xml:space="preserve">- </w:t>
      </w:r>
      <w:r>
        <w:rPr>
          <w:rFonts w:ascii="宋体" w:hAnsi="宋体" w:eastAsia="宋体"/>
          <w:b/>
          <w:sz w:val="24"/>
        </w:rPr>
        <w:t>设定 A（H1 主设定）</w:t>
      </w:r>
      <w:r>
        <w:rPr>
          <w:rFonts w:ascii="宋体" w:hAnsi="宋体" w:eastAsia="宋体"/>
          <w:b w:val="0"/>
          <w:sz w:val="24"/>
        </w:rPr>
        <w:t>：年度固定效应 + 控制变量，对应模型 (2)。</w:t>
      </w:r>
    </w:p>
    <w:p>
      <w:pPr>
        <w:spacing w:after="60" w:line="360" w:lineRule="auto"/>
      </w:pPr>
      <w:r>
        <w:rPr>
          <w:rFonts w:ascii="宋体" w:hAnsi="宋体" w:eastAsia="宋体"/>
          <w:b w:val="0"/>
          <w:sz w:val="24"/>
        </w:rPr>
        <w:t xml:space="preserve">- </w:t>
      </w:r>
      <w:r>
        <w:rPr>
          <w:rFonts w:ascii="宋体" w:hAnsi="宋体" w:eastAsia="宋体"/>
          <w:b/>
          <w:sz w:val="24"/>
        </w:rPr>
        <w:t>设定 B（H2 主设定）</w:t>
      </w:r>
      <w:r>
        <w:rPr>
          <w:rFonts w:ascii="宋体" w:hAnsi="宋体" w:eastAsia="宋体"/>
          <w:b w:val="0"/>
          <w:sz w:val="24"/>
        </w:rPr>
        <w:t>：设定 A + 当期 ROA，对应模型 (3)。</w:t>
      </w:r>
    </w:p>
    <w:p>
      <w:pPr>
        <w:spacing w:after="120" w:line="360" w:lineRule="auto"/>
        <w:ind w:firstLine="480"/>
      </w:pPr>
      <w:r>
        <w:rPr>
          <w:rFonts w:ascii="宋体" w:hAnsi="宋体" w:eastAsia="宋体"/>
          <w:b w:val="0"/>
          <w:sz w:val="24"/>
        </w:rPr>
        <w:t>五组检验分别为：</w:t>
      </w:r>
    </w:p>
    <w:p>
      <w:pPr>
        <w:spacing w:after="120" w:line="360" w:lineRule="auto"/>
        <w:ind w:firstLine="480"/>
      </w:pPr>
      <w:r>
        <w:rPr>
          <w:rFonts w:ascii="宋体" w:hAnsi="宋体" w:eastAsia="宋体"/>
          <w:b/>
          <w:sz w:val="24"/>
        </w:rPr>
        <w:t>R1 替代测度。</w:t>
      </w:r>
      <w:r>
        <w:rPr>
          <w:rFonts w:ascii="宋体" w:hAnsi="宋体" w:eastAsia="宋体"/>
          <w:b w:val="0"/>
          <w:sz w:val="24"/>
        </w:rPr>
        <w:t xml:space="preserve"> 以机器学习语调 TONE_ml 替换词典法语调 TONE_dict。两个测度的构建原理完全不同（词典计数 vs TF-IDF 逻辑回归），若结论在两者下一致，说明结论不依赖于特定测度口径，同时这也是对测度聚合效度的间接验证。</w:t>
      </w:r>
    </w:p>
    <w:p>
      <w:pPr>
        <w:spacing w:after="120" w:line="360" w:lineRule="auto"/>
        <w:ind w:firstLine="480"/>
      </w:pPr>
      <w:r>
        <w:rPr>
          <w:rFonts w:ascii="宋体" w:hAnsi="宋体" w:eastAsia="宋体"/>
          <w:b/>
          <w:sz w:val="24"/>
        </w:rPr>
        <w:t>R2 替代业绩指标。</w:t>
      </w:r>
      <w:r>
        <w:rPr>
          <w:rFonts w:ascii="宋体" w:hAnsi="宋体" w:eastAsia="宋体"/>
          <w:b w:val="0"/>
          <w:sz w:val="24"/>
        </w:rPr>
        <w:t xml:space="preserve"> 以 t+1 年加权净资产收益率（ROE）替换总资产净利率（ROA）作为被解释变量。ROA 反映全部资产的盈利效率，ROE 反映股东权益的回报水平，两者受杠杆影响的方式不同，替换后可检验结论是否依赖于特定业绩口径。</w:t>
      </w:r>
    </w:p>
    <w:p>
      <w:pPr>
        <w:spacing w:after="120" w:line="360" w:lineRule="auto"/>
        <w:ind w:firstLine="480"/>
      </w:pPr>
      <w:r>
        <w:rPr>
          <w:rFonts w:ascii="宋体" w:hAnsi="宋体" w:eastAsia="宋体"/>
          <w:b/>
          <w:sz w:val="24"/>
        </w:rPr>
        <w:t>R3 逐年剔除。</w:t>
      </w:r>
      <w:r>
        <w:rPr>
          <w:rFonts w:ascii="宋体" w:hAnsi="宋体" w:eastAsia="宋体"/>
          <w:b w:val="0"/>
          <w:sz w:val="24"/>
        </w:rPr>
        <w:t xml:space="preserve"> 依次剔除 2022、2023、2024 中的某一年度后重新估计。若结论完全由某一年度的特殊市况驱动（例如 2022 年的宏观冲击），剔除该年后系数应发生剧变或失去显著性。</w:t>
      </w:r>
    </w:p>
    <w:p>
      <w:pPr>
        <w:spacing w:after="120" w:line="360" w:lineRule="auto"/>
        <w:ind w:firstLine="480"/>
      </w:pPr>
      <w:r>
        <w:rPr>
          <w:rFonts w:ascii="宋体" w:hAnsi="宋体" w:eastAsia="宋体"/>
          <w:b/>
          <w:sz w:val="24"/>
        </w:rPr>
        <w:t>R4 分半语调复核。</w:t>
      </w:r>
      <w:r>
        <w:rPr>
          <w:rFonts w:ascii="宋体" w:hAnsi="宋体" w:eastAsia="宋体"/>
          <w:b w:val="0"/>
          <w:sz w:val="24"/>
        </w:rPr>
        <w:t xml:space="preserve"> 用奇数句计算的语调作为解释变量、偶数句计算的语调作为交叉验证。这一检验直接检验测度层面的稳健性：若语调的预测力只是句级计数噪声的偶然产物，那么用句子的不同子集计算的语调不应产生一致的回归结果。同时报告全样本语调与两个分半语调的相关系数，作为测度内部一致性的补充证据。</w:t>
      </w:r>
    </w:p>
    <w:p>
      <w:pPr>
        <w:spacing w:after="120" w:line="360" w:lineRule="auto"/>
        <w:ind w:firstLine="480"/>
      </w:pPr>
      <w:r>
        <w:rPr>
          <w:rFonts w:ascii="宋体" w:hAnsi="宋体" w:eastAsia="宋体"/>
          <w:b/>
          <w:sz w:val="24"/>
        </w:rPr>
        <w:t>R5 安慰剂检验。</w:t>
      </w:r>
      <w:r>
        <w:rPr>
          <w:rFonts w:ascii="宋体" w:hAnsi="宋体" w:eastAsia="宋体"/>
          <w:b w:val="0"/>
          <w:sz w:val="24"/>
        </w:rPr>
        <w:t xml:space="preserve"> 将语调变量在样本内随机置换 1,000 次，每次重新估计设定 B 并记录语调系数，从而得到"语调与业绩无真实关系"这一原假设下的系数经验分布。真实系数在该分布中的分位（置换 p 值）给出了不依赖渐近分布假定的推断。若真实系数落在分布的两端（p 值很小），说明观测到的关联不太可能来自偶然；同时可比较安慰剂系数均值是否接近零，以检查估计量是否有系统性偏误。</w:t>
      </w:r>
    </w:p>
    <w:p>
      <w:pPr>
        <w:spacing w:before="200" w:after="160"/>
      </w:pPr>
      <w:r>
        <w:rPr>
          <w:rFonts w:ascii="黑体" w:hAnsi="黑体" w:eastAsia="黑体"/>
          <w:b/>
          <w:sz w:val="25"/>
        </w:rPr>
        <w:t>4.4 计算实现与可复现性</w:t>
      </w:r>
    </w:p>
    <w:p>
      <w:pPr>
        <w:spacing w:after="120" w:line="360" w:lineRule="auto"/>
        <w:ind w:firstLine="480"/>
      </w:pPr>
      <w:r>
        <w:rPr>
          <w:rFonts w:ascii="宋体" w:hAnsi="宋体" w:eastAsia="宋体"/>
          <w:b w:val="0"/>
          <w:sz w:val="24"/>
        </w:rPr>
        <w:t>全部实证流程由七个 Python 模块串行实现，模块间以 CSV 文件衔接，每个模块可独立重跑：</w:t>
      </w:r>
      <w:r>
        <w:rPr>
          <w:rFonts w:ascii="Consolas" w:hAnsi="Consolas" w:eastAsia="Consolas"/>
          <w:b w:val="0"/>
          <w:sz w:val="22"/>
        </w:rPr>
        <w:t>01_download_reports.py</w:t>
      </w:r>
      <w:r>
        <w:rPr>
          <w:rFonts w:ascii="宋体" w:hAnsi="宋体" w:eastAsia="宋体"/>
          <w:b w:val="0"/>
          <w:sz w:val="24"/>
        </w:rPr>
        <w:t>（数据获取）、</w:t>
      </w:r>
      <w:r>
        <w:rPr>
          <w:rFonts w:ascii="Consolas" w:hAnsi="Consolas" w:eastAsia="Consolas"/>
          <w:b w:val="0"/>
          <w:sz w:val="22"/>
        </w:rPr>
        <w:t>02_text_preprocess.py</w:t>
      </w:r>
      <w:r>
        <w:rPr>
          <w:rFonts w:ascii="宋体" w:hAnsi="宋体" w:eastAsia="宋体"/>
          <w:b w:val="0"/>
          <w:sz w:val="24"/>
        </w:rPr>
        <w:t>（文本预处理）、</w:t>
      </w:r>
      <w:r>
        <w:rPr>
          <w:rFonts w:ascii="Consolas" w:hAnsi="Consolas" w:eastAsia="Consolas"/>
          <w:b w:val="0"/>
          <w:sz w:val="22"/>
        </w:rPr>
        <w:t>03_build_measures.py</w:t>
      </w:r>
      <w:r>
        <w:rPr>
          <w:rFonts w:ascii="宋体" w:hAnsi="宋体" w:eastAsia="宋体"/>
          <w:b w:val="0"/>
          <w:sz w:val="24"/>
        </w:rPr>
        <w:t>（测度构建与信效度检验）、</w:t>
      </w:r>
      <w:r>
        <w:rPr>
          <w:rFonts w:ascii="Consolas" w:hAnsi="Consolas" w:eastAsia="Consolas"/>
          <w:b w:val="0"/>
          <w:sz w:val="22"/>
        </w:rPr>
        <w:t>04_merge_panel.py</w:t>
      </w:r>
      <w:r>
        <w:rPr>
          <w:rFonts w:ascii="宋体" w:hAnsi="宋体" w:eastAsia="宋体"/>
          <w:b w:val="0"/>
          <w:sz w:val="24"/>
        </w:rPr>
        <w:t>（面板构建）、</w:t>
      </w:r>
      <w:r>
        <w:rPr>
          <w:rFonts w:ascii="Consolas" w:hAnsi="Consolas" w:eastAsia="Consolas"/>
          <w:b w:val="0"/>
          <w:sz w:val="22"/>
        </w:rPr>
        <w:t>05_analysis.py</w:t>
      </w:r>
      <w:r>
        <w:rPr>
          <w:rFonts w:ascii="宋体" w:hAnsi="宋体" w:eastAsia="宋体"/>
          <w:b w:val="0"/>
          <w:sz w:val="24"/>
        </w:rPr>
        <w:t>（描述统计、相关分析、基准回归与交互项检验）、</w:t>
      </w:r>
      <w:r>
        <w:rPr>
          <w:rFonts w:ascii="Consolas" w:hAnsi="Consolas" w:eastAsia="Consolas"/>
          <w:b w:val="0"/>
          <w:sz w:val="22"/>
        </w:rPr>
        <w:t>06_robustness.py</w:t>
      </w:r>
      <w:r>
        <w:rPr>
          <w:rFonts w:ascii="宋体" w:hAnsi="宋体" w:eastAsia="宋体"/>
          <w:b w:val="0"/>
          <w:sz w:val="24"/>
        </w:rPr>
        <w:t>（稳健性检验与安慰剂检验）、</w:t>
      </w:r>
      <w:r>
        <w:rPr>
          <w:rFonts w:ascii="Consolas" w:hAnsi="Consolas" w:eastAsia="Consolas"/>
          <w:b w:val="0"/>
          <w:sz w:val="22"/>
        </w:rPr>
        <w:t>07_export_docx.py</w:t>
      </w:r>
      <w:r>
        <w:rPr>
          <w:rFonts w:ascii="宋体" w:hAnsi="宋体" w:eastAsia="宋体"/>
          <w:b w:val="0"/>
          <w:sz w:val="24"/>
        </w:rPr>
        <w:t xml:space="preserve">（论文 Word 版导出）。所有随机过程（机器学习分类器、安慰剂置换）均固定随机种子（分别为 42 与 2026），保证结果可精确复现。依赖环境记录在 </w:t>
      </w:r>
      <w:r>
        <w:rPr>
          <w:rFonts w:ascii="Consolas" w:hAnsi="Consolas" w:eastAsia="Consolas"/>
          <w:b w:val="0"/>
          <w:sz w:val="22"/>
        </w:rPr>
        <w:t>requirements.txt</w:t>
      </w:r>
      <w:r>
        <w:rPr>
          <w:rFonts w:ascii="宋体" w:hAnsi="宋体" w:eastAsia="宋体"/>
          <w:b w:val="0"/>
          <w:sz w:val="24"/>
        </w:rPr>
        <w:t>，主词典与语料均以文本形式保存，便于人工抽查核对。</w:t>
      </w:r>
    </w:p>
    <w:p>
      <w:pPr>
        <w:spacing w:before="200" w:after="160"/>
      </w:pPr>
      <w:r>
        <w:rPr>
          <w:rFonts w:ascii="黑体" w:hAnsi="黑体" w:eastAsia="黑体"/>
          <w:b/>
          <w:sz w:val="28"/>
        </w:rPr>
        <w:t>5 结果分析与讨论</w:t>
      </w:r>
    </w:p>
    <w:p>
      <w:pPr>
        <w:spacing w:before="200" w:after="160"/>
      </w:pPr>
      <w:r>
        <w:rPr>
          <w:rFonts w:ascii="黑体" w:hAnsi="黑体" w:eastAsia="黑体"/>
          <w:b/>
          <w:sz w:val="25"/>
        </w:rPr>
        <w:t>5.1 测度构建的信度与效度检验</w:t>
      </w:r>
    </w:p>
    <w:p>
      <w:pPr>
        <w:spacing w:after="120" w:line="360" w:lineRule="auto"/>
        <w:ind w:firstLine="480"/>
      </w:pPr>
      <w:r>
        <w:rPr>
          <w:rFonts w:ascii="宋体" w:hAnsi="宋体" w:eastAsia="宋体"/>
          <w:b w:val="0"/>
          <w:sz w:val="24"/>
        </w:rPr>
        <w:t>测度质量是一切后续结论的前提，因此本文首先报告信效度检验结果。</w:t>
      </w:r>
      <w:r>
        <w:rPr>
          <w:rFonts w:ascii="宋体" w:hAnsi="宋体" w:eastAsia="宋体"/>
          <w:b/>
          <w:sz w:val="24"/>
        </w:rPr>
        <w:t>表 3</w:t>
      </w:r>
      <w:r>
        <w:rPr>
          <w:rFonts w:ascii="宋体" w:hAnsi="宋体" w:eastAsia="宋体"/>
          <w:b w:val="0"/>
          <w:sz w:val="24"/>
        </w:rPr>
        <w:t xml:space="preserve"> 汇总了四项检验的统计量。</w:t>
      </w:r>
    </w:p>
    <w:p>
      <w:pPr>
        <w:spacing w:after="120" w:line="360" w:lineRule="auto"/>
        <w:ind w:firstLine="480"/>
      </w:pPr>
      <w:r>
        <w:rPr>
          <w:rFonts w:ascii="宋体" w:hAnsi="宋体" w:eastAsia="宋体"/>
          <w:b/>
          <w:sz w:val="24"/>
        </w:rPr>
        <w:t>表 3  语调测度的信度与效度检验结果</w:t>
      </w:r>
      <w:r>
        <w:rPr>
          <w:rFonts w:ascii="宋体" w:hAnsi="宋体" w:eastAsia="宋体"/>
          <w:b w:val="0"/>
          <w:sz w:val="24"/>
        </w:rPr>
        <w:t xml:space="preserve">（对应文件 </w:t>
      </w:r>
      <w:r>
        <w:rPr>
          <w:rFonts w:ascii="Consolas" w:hAnsi="Consolas" w:eastAsia="Consolas"/>
          <w:b w:val="0"/>
          <w:sz w:val="22"/>
        </w:rPr>
        <w:t>output/tables/tab_reliability.csv</w:t>
      </w:r>
      <w:r>
        <w:rPr>
          <w:rFonts w:ascii="宋体" w:hAnsi="宋体" w:eastAsia="宋体"/>
          <w:b w:val="0"/>
          <w:sz w:val="24"/>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1"/>
              </w:rPr>
              <w:t>检验类型</w:t>
            </w:r>
          </w:p>
        </w:tc>
        <w:tc>
          <w:tcPr>
            <w:tcW w:type="dxa" w:w="1728"/>
          </w:tcPr>
          <w:p>
            <w:pPr>
              <w:jc w:val="center"/>
            </w:pPr>
            <w:r/>
            <w:r>
              <w:rPr>
                <w:rFonts w:ascii="宋体" w:hAnsi="宋体" w:eastAsia="宋体"/>
                <w:b/>
                <w:sz w:val="21"/>
              </w:rPr>
              <w:t>统计量</w:t>
            </w:r>
          </w:p>
        </w:tc>
        <w:tc>
          <w:tcPr>
            <w:tcW w:type="dxa" w:w="1728"/>
          </w:tcPr>
          <w:p>
            <w:pPr>
              <w:jc w:val="center"/>
            </w:pPr>
            <w:r/>
            <w:r>
              <w:rPr>
                <w:rFonts w:ascii="宋体" w:hAnsi="宋体" w:eastAsia="宋体"/>
                <w:b/>
                <w:sz w:val="21"/>
              </w:rPr>
              <w:t>取值</w:t>
            </w:r>
          </w:p>
        </w:tc>
        <w:tc>
          <w:tcPr>
            <w:tcW w:type="dxa" w:w="1728"/>
          </w:tcPr>
          <w:p>
            <w:pPr>
              <w:jc w:val="center"/>
            </w:pPr>
            <w:r/>
            <w:r>
              <w:rPr>
                <w:rFonts w:ascii="宋体" w:hAnsi="宋体" w:eastAsia="宋体"/>
                <w:b/>
                <w:sz w:val="21"/>
              </w:rPr>
              <w:t>判断标准</w:t>
            </w:r>
          </w:p>
        </w:tc>
        <w:tc>
          <w:tcPr>
            <w:tcW w:type="dxa" w:w="1728"/>
          </w:tcPr>
          <w:p>
            <w:pPr>
              <w:jc w:val="center"/>
            </w:pPr>
            <w:r/>
            <w:r>
              <w:rPr>
                <w:rFonts w:ascii="宋体" w:hAnsi="宋体" w:eastAsia="宋体"/>
                <w:b/>
                <w:sz w:val="21"/>
              </w:rPr>
              <w:t>结论</w:t>
            </w:r>
          </w:p>
        </w:tc>
      </w:tr>
      <w:tr>
        <w:tc>
          <w:tcPr>
            <w:tcW w:type="dxa" w:w="1728"/>
          </w:tcPr>
          <w:p>
            <w:r/>
            <w:r>
              <w:rPr>
                <w:rFonts w:ascii="宋体" w:hAnsi="宋体" w:eastAsia="宋体"/>
                <w:b w:val="0"/>
                <w:sz w:val="21"/>
              </w:rPr>
              <w:t>分半信度（奇偶句拆分）</w:t>
            </w:r>
          </w:p>
        </w:tc>
        <w:tc>
          <w:tcPr>
            <w:tcW w:type="dxa" w:w="1728"/>
          </w:tcPr>
          <w:p>
            <w:r/>
            <w:r>
              <w:rPr>
                <w:rFonts w:ascii="宋体" w:hAnsi="宋体" w:eastAsia="宋体"/>
                <w:b w:val="0"/>
                <w:sz w:val="21"/>
              </w:rPr>
              <w:t>Pearson r</w:t>
            </w:r>
          </w:p>
        </w:tc>
        <w:tc>
          <w:tcPr>
            <w:tcW w:type="dxa" w:w="1728"/>
          </w:tcPr>
          <w:p>
            <w:r/>
            <w:r>
              <w:rPr>
                <w:rFonts w:ascii="宋体" w:hAnsi="宋体" w:eastAsia="宋体"/>
                <w:b w:val="0"/>
                <w:sz w:val="21"/>
              </w:rPr>
              <w:t>0.9040</w:t>
            </w:r>
          </w:p>
        </w:tc>
        <w:tc>
          <w:tcPr>
            <w:tcW w:type="dxa" w:w="1728"/>
          </w:tcPr>
          <w:p>
            <w:r/>
            <w:r>
              <w:rPr>
                <w:rFonts w:ascii="宋体" w:hAnsi="宋体" w:eastAsia="宋体"/>
                <w:b w:val="0"/>
                <w:sz w:val="21"/>
              </w:rPr>
              <w:t>&gt;0.7</w:t>
            </w:r>
          </w:p>
        </w:tc>
        <w:tc>
          <w:tcPr>
            <w:tcW w:type="dxa" w:w="1728"/>
          </w:tcPr>
          <w:p>
            <w:r/>
            <w:r>
              <w:rPr>
                <w:rFonts w:ascii="宋体" w:hAnsi="宋体" w:eastAsia="宋体"/>
                <w:b w:val="0"/>
                <w:sz w:val="21"/>
              </w:rPr>
              <w:t>通过</w:t>
            </w:r>
          </w:p>
        </w:tc>
      </w:tr>
      <w:tr>
        <w:tc>
          <w:tcPr>
            <w:tcW w:type="dxa" w:w="1728"/>
          </w:tcPr>
          <w:p>
            <w:r/>
            <w:r>
              <w:rPr>
                <w:rFonts w:ascii="宋体" w:hAnsi="宋体" w:eastAsia="宋体"/>
                <w:b w:val="0"/>
                <w:sz w:val="21"/>
              </w:rPr>
              <w:t>分半信度（Spearman-Brown 校正）</w:t>
            </w:r>
          </w:p>
        </w:tc>
        <w:tc>
          <w:tcPr>
            <w:tcW w:type="dxa" w:w="1728"/>
          </w:tcPr>
          <w:p>
            <w:r/>
            <w:r>
              <w:rPr>
                <w:rFonts w:ascii="宋体" w:hAnsi="宋体" w:eastAsia="宋体"/>
                <w:b w:val="0"/>
                <w:sz w:val="21"/>
              </w:rPr>
              <w:t>r_SB</w:t>
            </w:r>
          </w:p>
        </w:tc>
        <w:tc>
          <w:tcPr>
            <w:tcW w:type="dxa" w:w="1728"/>
          </w:tcPr>
          <w:p>
            <w:r/>
            <w:r>
              <w:rPr>
                <w:rFonts w:ascii="宋体" w:hAnsi="宋体" w:eastAsia="宋体"/>
                <w:b w:val="0"/>
                <w:sz w:val="21"/>
              </w:rPr>
              <w:t>0.9496</w:t>
            </w:r>
          </w:p>
        </w:tc>
        <w:tc>
          <w:tcPr>
            <w:tcW w:type="dxa" w:w="1728"/>
          </w:tcPr>
          <w:p>
            <w:r/>
            <w:r>
              <w:rPr>
                <w:rFonts w:ascii="宋体" w:hAnsi="宋体" w:eastAsia="宋体"/>
                <w:b w:val="0"/>
                <w:sz w:val="21"/>
              </w:rPr>
              <w:t>&gt;0.7</w:t>
            </w:r>
          </w:p>
        </w:tc>
        <w:tc>
          <w:tcPr>
            <w:tcW w:type="dxa" w:w="1728"/>
          </w:tcPr>
          <w:p>
            <w:r/>
            <w:r>
              <w:rPr>
                <w:rFonts w:ascii="宋体" w:hAnsi="宋体" w:eastAsia="宋体"/>
                <w:b w:val="0"/>
                <w:sz w:val="21"/>
              </w:rPr>
              <w:t>通过</w:t>
            </w:r>
          </w:p>
        </w:tc>
      </w:tr>
      <w:tr>
        <w:tc>
          <w:tcPr>
            <w:tcW w:type="dxa" w:w="1728"/>
          </w:tcPr>
          <w:p>
            <w:r/>
            <w:r>
              <w:rPr>
                <w:rFonts w:ascii="宋体" w:hAnsi="宋体" w:eastAsia="宋体"/>
                <w:b w:val="0"/>
                <w:sz w:val="21"/>
              </w:rPr>
              <w:t>聚合效度（词典法 vs 机器学习法）</w:t>
            </w:r>
          </w:p>
        </w:tc>
        <w:tc>
          <w:tcPr>
            <w:tcW w:type="dxa" w:w="1728"/>
          </w:tcPr>
          <w:p>
            <w:r/>
            <w:r>
              <w:rPr>
                <w:rFonts w:ascii="宋体" w:hAnsi="宋体" w:eastAsia="宋体"/>
                <w:b w:val="0"/>
                <w:sz w:val="21"/>
              </w:rPr>
              <w:t>Pearson r</w:t>
            </w:r>
          </w:p>
        </w:tc>
        <w:tc>
          <w:tcPr>
            <w:tcW w:type="dxa" w:w="1728"/>
          </w:tcPr>
          <w:p>
            <w:r/>
            <w:r>
              <w:rPr>
                <w:rFonts w:ascii="宋体" w:hAnsi="宋体" w:eastAsia="宋体"/>
                <w:b w:val="0"/>
                <w:sz w:val="21"/>
              </w:rPr>
              <w:t>0.5432</w:t>
            </w:r>
          </w:p>
        </w:tc>
        <w:tc>
          <w:tcPr>
            <w:tcW w:type="dxa" w:w="1728"/>
          </w:tcPr>
          <w:p>
            <w:r/>
            <w:r>
              <w:rPr>
                <w:rFonts w:ascii="宋体" w:hAnsi="宋体" w:eastAsia="宋体"/>
                <w:b w:val="0"/>
                <w:sz w:val="21"/>
              </w:rPr>
              <w:t>&gt;0.4 且显著</w:t>
            </w:r>
          </w:p>
        </w:tc>
        <w:tc>
          <w:tcPr>
            <w:tcW w:type="dxa" w:w="1728"/>
          </w:tcPr>
          <w:p>
            <w:r/>
            <w:r>
              <w:rPr>
                <w:rFonts w:ascii="宋体" w:hAnsi="宋体" w:eastAsia="宋体"/>
                <w:b w:val="0"/>
                <w:sz w:val="21"/>
              </w:rPr>
              <w:t>通过</w:t>
            </w:r>
          </w:p>
        </w:tc>
      </w:tr>
      <w:tr>
        <w:tc>
          <w:tcPr>
            <w:tcW w:type="dxa" w:w="1728"/>
          </w:tcPr>
          <w:p>
            <w:r/>
            <w:r>
              <w:rPr>
                <w:rFonts w:ascii="宋体" w:hAnsi="宋体" w:eastAsia="宋体"/>
                <w:b w:val="0"/>
                <w:sz w:val="21"/>
              </w:rPr>
              <w:t>已知组效度（业绩增长组 vs 下滑组语调差）</w:t>
            </w:r>
          </w:p>
        </w:tc>
        <w:tc>
          <w:tcPr>
            <w:tcW w:type="dxa" w:w="1728"/>
          </w:tcPr>
          <w:p>
            <w:r/>
            <w:r>
              <w:rPr>
                <w:rFonts w:ascii="宋体" w:hAnsi="宋体" w:eastAsia="宋体"/>
                <w:b w:val="0"/>
                <w:sz w:val="21"/>
              </w:rPr>
              <w:t>均值差</w:t>
            </w:r>
          </w:p>
        </w:tc>
        <w:tc>
          <w:tcPr>
            <w:tcW w:type="dxa" w:w="1728"/>
          </w:tcPr>
          <w:p>
            <w:r/>
            <w:r>
              <w:rPr>
                <w:rFonts w:ascii="宋体" w:hAnsi="宋体" w:eastAsia="宋体"/>
                <w:b w:val="0"/>
                <w:sz w:val="21"/>
              </w:rPr>
              <w:t>0.0124</w:t>
            </w:r>
          </w:p>
        </w:tc>
        <w:tc>
          <w:tcPr>
            <w:tcW w:type="dxa" w:w="1728"/>
          </w:tcPr>
          <w:p>
            <w:r/>
            <w:r>
              <w:rPr>
                <w:rFonts w:ascii="宋体" w:hAnsi="宋体" w:eastAsia="宋体"/>
                <w:b w:val="0"/>
                <w:sz w:val="21"/>
              </w:rPr>
              <w:t>为正</w:t>
            </w:r>
          </w:p>
        </w:tc>
        <w:tc>
          <w:tcPr>
            <w:tcW w:type="dxa" w:w="1728"/>
          </w:tcPr>
          <w:p>
            <w:r/>
            <w:r>
              <w:rPr>
                <w:rFonts w:ascii="宋体" w:hAnsi="宋体" w:eastAsia="宋体"/>
                <w:b w:val="0"/>
                <w:sz w:val="21"/>
              </w:rPr>
              <w:t>通过</w:t>
            </w:r>
          </w:p>
        </w:tc>
      </w:tr>
      <w:tr>
        <w:tc>
          <w:tcPr>
            <w:tcW w:type="dxa" w:w="1728"/>
          </w:tcPr>
          <w:p>
            <w:r/>
            <w:r>
              <w:rPr>
                <w:rFonts w:ascii="宋体" w:hAnsi="宋体" w:eastAsia="宋体"/>
                <w:b w:val="0"/>
                <w:sz w:val="21"/>
              </w:rPr>
              <w:t>已知组效度</w:t>
            </w:r>
          </w:p>
        </w:tc>
        <w:tc>
          <w:tcPr>
            <w:tcW w:type="dxa" w:w="1728"/>
          </w:tcPr>
          <w:p>
            <w:r/>
            <w:r>
              <w:rPr>
                <w:rFonts w:ascii="宋体" w:hAnsi="宋体" w:eastAsia="宋体"/>
                <w:b w:val="0"/>
                <w:sz w:val="21"/>
              </w:rPr>
              <w:t>Welch t 值 / p 值</w:t>
            </w:r>
          </w:p>
        </w:tc>
        <w:tc>
          <w:tcPr>
            <w:tcW w:type="dxa" w:w="1728"/>
          </w:tcPr>
          <w:p>
            <w:r/>
            <w:r>
              <w:rPr>
                <w:rFonts w:ascii="宋体" w:hAnsi="宋体" w:eastAsia="宋体"/>
                <w:b w:val="0"/>
                <w:sz w:val="21"/>
              </w:rPr>
              <w:t>3.4688 / 0.0008</w:t>
            </w:r>
          </w:p>
        </w:tc>
        <w:tc>
          <w:tcPr>
            <w:tcW w:type="dxa" w:w="1728"/>
          </w:tcPr>
          <w:p>
            <w:r/>
            <w:r>
              <w:rPr>
                <w:rFonts w:ascii="宋体" w:hAnsi="宋体" w:eastAsia="宋体"/>
                <w:b w:val="0"/>
                <w:sz w:val="21"/>
              </w:rPr>
              <w:t>p&lt;0.01</w:t>
            </w:r>
          </w:p>
        </w:tc>
        <w:tc>
          <w:tcPr>
            <w:tcW w:type="dxa" w:w="1728"/>
          </w:tcPr>
          <w:p>
            <w:r/>
            <w:r>
              <w:rPr>
                <w:rFonts w:ascii="宋体" w:hAnsi="宋体" w:eastAsia="宋体"/>
                <w:b w:val="0"/>
                <w:sz w:val="21"/>
              </w:rPr>
              <w:t>通过</w:t>
            </w:r>
          </w:p>
        </w:tc>
      </w:tr>
      <w:tr>
        <w:tc>
          <w:tcPr>
            <w:tcW w:type="dxa" w:w="1728"/>
          </w:tcPr>
          <w:p>
            <w:r/>
            <w:r>
              <w:rPr>
                <w:rFonts w:ascii="宋体" w:hAnsi="宋体" w:eastAsia="宋体"/>
                <w:b w:val="0"/>
                <w:sz w:val="21"/>
              </w:rPr>
              <w:t>预测效度（TONE_t 与 ROA_{t+1}）</w:t>
            </w:r>
          </w:p>
        </w:tc>
        <w:tc>
          <w:tcPr>
            <w:tcW w:type="dxa" w:w="1728"/>
          </w:tcPr>
          <w:p>
            <w:r/>
            <w:r>
              <w:rPr>
                <w:rFonts w:ascii="宋体" w:hAnsi="宋体" w:eastAsia="宋体"/>
                <w:b w:val="0"/>
                <w:sz w:val="21"/>
              </w:rPr>
              <w:t>Pearson r / p 值</w:t>
            </w:r>
          </w:p>
        </w:tc>
        <w:tc>
          <w:tcPr>
            <w:tcW w:type="dxa" w:w="1728"/>
          </w:tcPr>
          <w:p>
            <w:r/>
            <w:r>
              <w:rPr>
                <w:rFonts w:ascii="宋体" w:hAnsi="宋体" w:eastAsia="宋体"/>
                <w:b w:val="0"/>
                <w:sz w:val="21"/>
              </w:rPr>
              <w:t>0.3876 / &lt;0.0001</w:t>
            </w:r>
          </w:p>
        </w:tc>
        <w:tc>
          <w:tcPr>
            <w:tcW w:type="dxa" w:w="1728"/>
          </w:tcPr>
          <w:p>
            <w:r/>
            <w:r>
              <w:rPr>
                <w:rFonts w:ascii="宋体" w:hAnsi="宋体" w:eastAsia="宋体"/>
                <w:b w:val="0"/>
                <w:sz w:val="21"/>
              </w:rPr>
              <w:t>显著为正</w:t>
            </w:r>
          </w:p>
        </w:tc>
        <w:tc>
          <w:tcPr>
            <w:tcW w:type="dxa" w:w="1728"/>
          </w:tcPr>
          <w:p>
            <w:r/>
            <w:r>
              <w:rPr>
                <w:rFonts w:ascii="宋体" w:hAnsi="宋体" w:eastAsia="宋体"/>
                <w:b w:val="0"/>
                <w:sz w:val="21"/>
              </w:rPr>
              <w:t>通过</w:t>
            </w:r>
          </w:p>
        </w:tc>
      </w:tr>
      <w:tr>
        <w:tc>
          <w:tcPr>
            <w:tcW w:type="dxa" w:w="1728"/>
          </w:tcPr>
          <w:p>
            <w:r/>
            <w:r>
              <w:rPr>
                <w:rFonts w:ascii="宋体" w:hAnsi="宋体" w:eastAsia="宋体"/>
                <w:b w:val="0"/>
                <w:sz w:val="21"/>
              </w:rPr>
              <w:t>机器学习测度交叉验证</w:t>
            </w:r>
          </w:p>
        </w:tc>
        <w:tc>
          <w:tcPr>
            <w:tcW w:type="dxa" w:w="1728"/>
          </w:tcPr>
          <w:p>
            <w:r/>
            <w:r>
              <w:rPr>
                <w:rFonts w:ascii="宋体" w:hAnsi="宋体" w:eastAsia="宋体"/>
                <w:b w:val="0"/>
                <w:sz w:val="21"/>
              </w:rPr>
              <w:t>准确率</w:t>
            </w:r>
          </w:p>
        </w:tc>
        <w:tc>
          <w:tcPr>
            <w:tcW w:type="dxa" w:w="1728"/>
          </w:tcPr>
          <w:p>
            <w:r/>
            <w:r>
              <w:rPr>
                <w:rFonts w:ascii="宋体" w:hAnsi="宋体" w:eastAsia="宋体"/>
                <w:b w:val="0"/>
                <w:sz w:val="21"/>
              </w:rPr>
              <w:t>0.8133</w:t>
            </w:r>
          </w:p>
        </w:tc>
        <w:tc>
          <w:tcPr>
            <w:tcW w:type="dxa" w:w="1728"/>
          </w:tcPr>
          <w:p>
            <w:r/>
            <w:r>
              <w:rPr>
                <w:rFonts w:ascii="宋体" w:hAnsi="宋体" w:eastAsia="宋体"/>
                <w:b w:val="0"/>
                <w:sz w:val="21"/>
              </w:rPr>
              <w:t>&gt;0.7</w:t>
            </w:r>
          </w:p>
        </w:tc>
        <w:tc>
          <w:tcPr>
            <w:tcW w:type="dxa" w:w="1728"/>
          </w:tcPr>
          <w:p>
            <w:r/>
            <w:r>
              <w:rPr>
                <w:rFonts w:ascii="宋体" w:hAnsi="宋体" w:eastAsia="宋体"/>
                <w:b w:val="0"/>
                <w:sz w:val="21"/>
              </w:rPr>
              <w:t>通过</w:t>
            </w:r>
          </w:p>
        </w:tc>
      </w:tr>
      <w:tr>
        <w:tc>
          <w:tcPr>
            <w:tcW w:type="dxa" w:w="1728"/>
          </w:tcPr>
          <w:p>
            <w:r/>
            <w:r>
              <w:rPr>
                <w:rFonts w:ascii="宋体" w:hAnsi="宋体" w:eastAsia="宋体"/>
                <w:b w:val="0"/>
                <w:sz w:val="21"/>
              </w:rPr>
              <w:t>机器学习测度交叉验证</w:t>
            </w:r>
          </w:p>
        </w:tc>
        <w:tc>
          <w:tcPr>
            <w:tcW w:type="dxa" w:w="1728"/>
          </w:tcPr>
          <w:p>
            <w:r/>
            <w:r>
              <w:rPr>
                <w:rFonts w:ascii="宋体" w:hAnsi="宋体" w:eastAsia="宋体"/>
                <w:b w:val="0"/>
                <w:sz w:val="21"/>
              </w:rPr>
              <w:t>AUC</w:t>
            </w:r>
          </w:p>
        </w:tc>
        <w:tc>
          <w:tcPr>
            <w:tcW w:type="dxa" w:w="1728"/>
          </w:tcPr>
          <w:p>
            <w:r/>
            <w:r>
              <w:rPr>
                <w:rFonts w:ascii="宋体" w:hAnsi="宋体" w:eastAsia="宋体"/>
                <w:b w:val="0"/>
                <w:sz w:val="21"/>
              </w:rPr>
              <w:t>0.8471</w:t>
            </w:r>
          </w:p>
        </w:tc>
        <w:tc>
          <w:tcPr>
            <w:tcW w:type="dxa" w:w="1728"/>
          </w:tcPr>
          <w:p>
            <w:r/>
            <w:r>
              <w:rPr>
                <w:rFonts w:ascii="宋体" w:hAnsi="宋体" w:eastAsia="宋体"/>
                <w:b w:val="0"/>
                <w:sz w:val="21"/>
              </w:rPr>
              <w:t>&gt;0.7</w:t>
            </w:r>
          </w:p>
        </w:tc>
        <w:tc>
          <w:tcPr>
            <w:tcW w:type="dxa" w:w="1728"/>
          </w:tcPr>
          <w:p>
            <w:r/>
            <w:r>
              <w:rPr>
                <w:rFonts w:ascii="宋体" w:hAnsi="宋体" w:eastAsia="宋体"/>
                <w:b w:val="0"/>
                <w:sz w:val="21"/>
              </w:rPr>
              <w:t>通过</w:t>
            </w:r>
          </w:p>
        </w:tc>
      </w:tr>
    </w:tbl>
    <w:p>
      <w:pPr>
        <w:spacing w:after="120" w:line="360" w:lineRule="auto"/>
        <w:ind w:firstLine="480"/>
      </w:pPr>
      <w:r>
        <w:rPr>
          <w:rFonts w:ascii="宋体" w:hAnsi="宋体" w:eastAsia="宋体"/>
          <w:b/>
          <w:sz w:val="24"/>
        </w:rPr>
        <w:t>分半信度。</w:t>
      </w:r>
      <w:r>
        <w:rPr>
          <w:rFonts w:ascii="宋体" w:hAnsi="宋体" w:eastAsia="宋体"/>
          <w:b w:val="0"/>
          <w:sz w:val="24"/>
        </w:rPr>
        <w:t xml:space="preserve"> 以每篇 MD&amp;A 的奇数句与偶数句子集分别独立计算净语调，两列相关系数为 0.9040，经 Spearman-Brown 公式校正后为 0.9496。这一水平高于文本情绪测度文献中常见的 0.7—0.9 区间，说明本文的语调测度具有很高的内部一致性：一篇文档内部的任意句子子集都能稳定地反映该文档的整体语调倾向，测度并非由少数"关键词句"偶然驱动。分半信度之所以较高，一方面得益于 MD&amp;A 平均超过 1,300 句的足够长度（长文本天然有更稳定的词频估计），另一方面也得益于句子按奇偶拆分是一种近乎随机的划分方式，两半在内容主题上高度同质。</w:t>
      </w:r>
    </w:p>
    <w:p>
      <w:pPr>
        <w:spacing w:after="120" w:line="360" w:lineRule="auto"/>
        <w:ind w:firstLine="480"/>
      </w:pPr>
      <w:r>
        <w:rPr>
          <w:rFonts w:ascii="宋体" w:hAnsi="宋体" w:eastAsia="宋体"/>
          <w:b/>
          <w:sz w:val="24"/>
        </w:rPr>
        <w:t>聚合效度。</w:t>
      </w:r>
      <w:r>
        <w:rPr>
          <w:rFonts w:ascii="宋体" w:hAnsi="宋体" w:eastAsia="宋体"/>
          <w:b w:val="0"/>
          <w:sz w:val="24"/>
        </w:rPr>
        <w:t xml:space="preserve"> 词典法净语调与机器学习语调的相关系数为 0.5432（p&lt;0.0001），呈现中等偏强的正相关。这一结果符合理论预期：两个测度提取的是同一潜在构念（管理层语调），因此必须显著正相关；但两者的构造原理不同——前者依赖人工词表覆盖，后者依赖数据驱动的词项权重——因此不应期望完全重合。相关系数的具体量级也提供了信息：0.54 意味着两个测度共享约 29% 的方差，剩余部分主要来自三个渠道：一是机器学习测度因 5 折交叉验证估计而含有更大的估计噪声；二是机器学习测度以概率形式输出，其取值受逻辑回归单调变换压缩；三是词典法未覆盖的表述（如"稳字当头""以进促稳"）是机器学习法的独有信号源。这一解读与 Loughran 和 McDonald（2020）"两法互补而非替代"的判断一致，也构成第 4.3 节将 TONE_ml 用作替代测度检验的理由。</w:t>
      </w:r>
    </w:p>
    <w:p>
      <w:pPr>
        <w:spacing w:after="120" w:line="360" w:lineRule="auto"/>
        <w:ind w:firstLine="480"/>
      </w:pPr>
      <w:r>
        <w:rPr>
          <w:rFonts w:ascii="宋体" w:hAnsi="宋体" w:eastAsia="宋体"/>
          <w:b/>
          <w:sz w:val="24"/>
        </w:rPr>
        <w:t>已知组效度。</w:t>
      </w:r>
      <w:r>
        <w:rPr>
          <w:rFonts w:ascii="宋体" w:hAnsi="宋体" w:eastAsia="宋体"/>
          <w:b w:val="0"/>
          <w:sz w:val="24"/>
        </w:rPr>
        <w:t xml:space="preserve"> 以归母净利润同比增速分组，增长组（n=68）的净语调均值为 0.0520，下滑组（n=44）为 0.0396，差值为 0.0124，Welch t 检验 t=3.4688，p=0.0008，在 1% 水平上显著。这说明测度能够区分"客观业绩向好"与"客观业绩走弱"的两类公司，语调并非与基本面无关的纯修辞噪声。值得注意的是，增长组与下滑组的语调均值差（0.0124）相对于语调的标准差（0.0195）并不算大，即语调在两组之间的分布存在显著但有限的重叠——这本身就是有价值的观察：</w:t>
      </w:r>
      <w:r>
        <w:rPr>
          <w:rFonts w:ascii="宋体" w:hAnsi="宋体" w:eastAsia="宋体"/>
          <w:b/>
          <w:sz w:val="24"/>
        </w:rPr>
        <w:t>语调中既包含与客观业绩一致的信息成分，也包含与客观业绩无关的部分，而后者正是本文 H2 与 H3 关注的对象。</w:t>
      </w:r>
    </w:p>
    <w:p>
      <w:pPr>
        <w:spacing w:after="120" w:line="360" w:lineRule="auto"/>
        <w:ind w:firstLine="480"/>
      </w:pPr>
      <w:r>
        <w:rPr>
          <w:rFonts w:ascii="宋体" w:hAnsi="宋体" w:eastAsia="宋体"/>
          <w:b/>
          <w:sz w:val="24"/>
        </w:rPr>
        <w:t>预测效度与机器学习表现。</w:t>
      </w:r>
      <w:r>
        <w:rPr>
          <w:rFonts w:ascii="宋体" w:hAnsi="宋体" w:eastAsia="宋体"/>
          <w:b w:val="0"/>
          <w:sz w:val="24"/>
        </w:rPr>
        <w:t xml:space="preserve"> TONE_t 与 ROA_{t+1} 的皮尔逊相关系数为 0.3876（p&lt;0.0001），说明语调与未来业绩之间存在显著的正向关联，构成 H1 的初步证据（严格的多元回归见 5.4 节）。机器学习测度在 75 篇弱标签样本上的 5 折交叉验证准确率为 0.8133、AUC 为 0.8471，说明仅凭词频特征即可较好地区分词典法判定为"高语调"与"低语调"的文档，这既验证了机器学习测度的有效性，也间接说明词典法的判定结果具有可学习的语言特征基础，而非随机噪声。</w:t>
      </w:r>
    </w:p>
    <w:p>
      <w:pPr>
        <w:spacing w:after="120" w:line="360" w:lineRule="auto"/>
        <w:ind w:firstLine="480"/>
      </w:pPr>
      <w:r>
        <w:rPr>
          <w:rFonts w:ascii="宋体" w:hAnsi="宋体" w:eastAsia="宋体"/>
          <w:b w:val="0"/>
          <w:sz w:val="24"/>
        </w:rPr>
        <w:t>综合四项检验，本文的语调测度在信度（0.95）、收敛效度（0.54）、判别效度（t=3.47）与效标关联效度（r=0.39，AUC=0.85）四个维度上均达到可用标准，具备进入面板回归的条件。</w:t>
      </w:r>
    </w:p>
    <w:p>
      <w:pPr>
        <w:spacing w:before="200" w:after="160"/>
      </w:pPr>
      <w:r>
        <w:rPr>
          <w:rFonts w:ascii="黑体" w:hAnsi="黑体" w:eastAsia="黑体"/>
          <w:b/>
          <w:sz w:val="25"/>
        </w:rPr>
        <w:t>5.2 描述性统计</w:t>
      </w:r>
    </w:p>
    <w:p>
      <w:pPr>
        <w:spacing w:after="120" w:line="360" w:lineRule="auto"/>
        <w:ind w:firstLine="480"/>
      </w:pPr>
      <w:r>
        <w:rPr>
          <w:rFonts w:ascii="宋体" w:hAnsi="宋体" w:eastAsia="宋体"/>
          <w:b/>
          <w:sz w:val="24"/>
        </w:rPr>
        <w:t>表 4</w:t>
      </w:r>
      <w:r>
        <w:rPr>
          <w:rFonts w:ascii="宋体" w:hAnsi="宋体" w:eastAsia="宋体"/>
          <w:b w:val="0"/>
          <w:sz w:val="24"/>
        </w:rPr>
        <w:t xml:space="preserve"> 报告了进入回归的 112 个企业-年度观测的主要变量分布。</w:t>
      </w:r>
    </w:p>
    <w:p>
      <w:pPr>
        <w:spacing w:after="120" w:line="360" w:lineRule="auto"/>
        <w:ind w:firstLine="480"/>
      </w:pPr>
      <w:r>
        <w:rPr>
          <w:rFonts w:ascii="宋体" w:hAnsi="宋体" w:eastAsia="宋体"/>
          <w:b/>
          <w:sz w:val="24"/>
        </w:rPr>
        <w:t>表 4  主要变量描述性统计</w:t>
      </w:r>
      <w:r>
        <w:rPr>
          <w:rFonts w:ascii="宋体" w:hAnsi="宋体" w:eastAsia="宋体"/>
          <w:b w:val="0"/>
          <w:sz w:val="24"/>
        </w:rPr>
        <w:t xml:space="preserve">（对应文件 </w:t>
      </w:r>
      <w:r>
        <w:rPr>
          <w:rFonts w:ascii="Consolas" w:hAnsi="Consolas" w:eastAsia="Consolas"/>
          <w:b w:val="0"/>
          <w:sz w:val="22"/>
        </w:rPr>
        <w:t>output/tables/tab2_descriptive.csv</w:t>
      </w:r>
      <w:r>
        <w:rPr>
          <w:rFonts w:ascii="宋体" w:hAnsi="宋体" w:eastAsia="宋体"/>
          <w:b w:val="0"/>
          <w:sz w:val="24"/>
        </w:rPr>
        <w: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rFonts w:ascii="宋体" w:hAnsi="宋体" w:eastAsia="宋体"/>
                <w:b/>
                <w:sz w:val="21"/>
              </w:rPr>
              <w:t>变量</w:t>
            </w:r>
          </w:p>
        </w:tc>
        <w:tc>
          <w:tcPr>
            <w:tcW w:type="dxa" w:w="960"/>
          </w:tcPr>
          <w:p>
            <w:pPr>
              <w:jc w:val="center"/>
            </w:pPr>
            <w:r/>
            <w:r>
              <w:rPr>
                <w:rFonts w:ascii="宋体" w:hAnsi="宋体" w:eastAsia="宋体"/>
                <w:b/>
                <w:sz w:val="21"/>
              </w:rPr>
              <w:t>样本量</w:t>
            </w:r>
          </w:p>
        </w:tc>
        <w:tc>
          <w:tcPr>
            <w:tcW w:type="dxa" w:w="960"/>
          </w:tcPr>
          <w:p>
            <w:pPr>
              <w:jc w:val="center"/>
            </w:pPr>
            <w:r/>
            <w:r>
              <w:rPr>
                <w:rFonts w:ascii="宋体" w:hAnsi="宋体" w:eastAsia="宋体"/>
                <w:b/>
                <w:sz w:val="21"/>
              </w:rPr>
              <w:t>均值</w:t>
            </w:r>
          </w:p>
        </w:tc>
        <w:tc>
          <w:tcPr>
            <w:tcW w:type="dxa" w:w="960"/>
          </w:tcPr>
          <w:p>
            <w:pPr>
              <w:jc w:val="center"/>
            </w:pPr>
            <w:r/>
            <w:r>
              <w:rPr>
                <w:rFonts w:ascii="宋体" w:hAnsi="宋体" w:eastAsia="宋体"/>
                <w:b/>
                <w:sz w:val="21"/>
              </w:rPr>
              <w:t>标准差</w:t>
            </w:r>
          </w:p>
        </w:tc>
        <w:tc>
          <w:tcPr>
            <w:tcW w:type="dxa" w:w="960"/>
          </w:tcPr>
          <w:p>
            <w:pPr>
              <w:jc w:val="center"/>
            </w:pPr>
            <w:r/>
            <w:r>
              <w:rPr>
                <w:rFonts w:ascii="宋体" w:hAnsi="宋体" w:eastAsia="宋体"/>
                <w:b/>
                <w:sz w:val="21"/>
              </w:rPr>
              <w:t>最小值</w:t>
            </w:r>
          </w:p>
        </w:tc>
        <w:tc>
          <w:tcPr>
            <w:tcW w:type="dxa" w:w="960"/>
          </w:tcPr>
          <w:p>
            <w:pPr>
              <w:jc w:val="center"/>
            </w:pPr>
            <w:r/>
            <w:r>
              <w:rPr>
                <w:rFonts w:ascii="宋体" w:hAnsi="宋体" w:eastAsia="宋体"/>
                <w:b/>
                <w:sz w:val="21"/>
              </w:rPr>
              <w:t>P25</w:t>
            </w:r>
          </w:p>
        </w:tc>
        <w:tc>
          <w:tcPr>
            <w:tcW w:type="dxa" w:w="960"/>
          </w:tcPr>
          <w:p>
            <w:pPr>
              <w:jc w:val="center"/>
            </w:pPr>
            <w:r/>
            <w:r>
              <w:rPr>
                <w:rFonts w:ascii="宋体" w:hAnsi="宋体" w:eastAsia="宋体"/>
                <w:b/>
                <w:sz w:val="21"/>
              </w:rPr>
              <w:t>中位数</w:t>
            </w:r>
          </w:p>
        </w:tc>
        <w:tc>
          <w:tcPr>
            <w:tcW w:type="dxa" w:w="960"/>
          </w:tcPr>
          <w:p>
            <w:pPr>
              <w:jc w:val="center"/>
            </w:pPr>
            <w:r/>
            <w:r>
              <w:rPr>
                <w:rFonts w:ascii="宋体" w:hAnsi="宋体" w:eastAsia="宋体"/>
                <w:b/>
                <w:sz w:val="21"/>
              </w:rPr>
              <w:t>P75</w:t>
            </w:r>
          </w:p>
        </w:tc>
        <w:tc>
          <w:tcPr>
            <w:tcW w:type="dxa" w:w="960"/>
          </w:tcPr>
          <w:p>
            <w:pPr>
              <w:jc w:val="center"/>
            </w:pPr>
            <w:r/>
            <w:r>
              <w:rPr>
                <w:rFonts w:ascii="宋体" w:hAnsi="宋体" w:eastAsia="宋体"/>
                <w:b/>
                <w:sz w:val="21"/>
              </w:rPr>
              <w:t>最大值</w:t>
            </w:r>
          </w:p>
        </w:tc>
      </w:tr>
      <w:tr>
        <w:tc>
          <w:tcPr>
            <w:tcW w:type="dxa" w:w="960"/>
          </w:tcPr>
          <w:p>
            <w:r/>
            <w:r>
              <w:rPr>
                <w:rFonts w:ascii="宋体" w:hAnsi="宋体" w:eastAsia="宋体"/>
                <w:b w:val="0"/>
                <w:sz w:val="21"/>
              </w:rPr>
              <w:t>TONE（净语调，百分数）</w:t>
            </w:r>
          </w:p>
        </w:tc>
        <w:tc>
          <w:tcPr>
            <w:tcW w:type="dxa" w:w="960"/>
          </w:tcPr>
          <w:p>
            <w:r/>
            <w:r>
              <w:rPr>
                <w:rFonts w:ascii="宋体" w:hAnsi="宋体" w:eastAsia="宋体"/>
                <w:b w:val="0"/>
                <w:sz w:val="21"/>
              </w:rPr>
              <w:t>112</w:t>
            </w:r>
          </w:p>
        </w:tc>
        <w:tc>
          <w:tcPr>
            <w:tcW w:type="dxa" w:w="960"/>
          </w:tcPr>
          <w:p>
            <w:r/>
            <w:r>
              <w:rPr>
                <w:rFonts w:ascii="宋体" w:hAnsi="宋体" w:eastAsia="宋体"/>
                <w:b w:val="0"/>
                <w:sz w:val="21"/>
              </w:rPr>
              <w:t>4.741</w:t>
            </w:r>
          </w:p>
        </w:tc>
        <w:tc>
          <w:tcPr>
            <w:tcW w:type="dxa" w:w="960"/>
          </w:tcPr>
          <w:p>
            <w:r/>
            <w:r>
              <w:rPr>
                <w:rFonts w:ascii="宋体" w:hAnsi="宋体" w:eastAsia="宋体"/>
                <w:b w:val="0"/>
                <w:sz w:val="21"/>
              </w:rPr>
              <w:t>1.831</w:t>
            </w:r>
          </w:p>
        </w:tc>
        <w:tc>
          <w:tcPr>
            <w:tcW w:type="dxa" w:w="960"/>
          </w:tcPr>
          <w:p>
            <w:r/>
            <w:r>
              <w:rPr>
                <w:rFonts w:ascii="宋体" w:hAnsi="宋体" w:eastAsia="宋体"/>
                <w:b w:val="0"/>
                <w:sz w:val="21"/>
              </w:rPr>
              <w:t>0.634</w:t>
            </w:r>
          </w:p>
        </w:tc>
        <w:tc>
          <w:tcPr>
            <w:tcW w:type="dxa" w:w="960"/>
          </w:tcPr>
          <w:p>
            <w:r/>
            <w:r>
              <w:rPr>
                <w:rFonts w:ascii="宋体" w:hAnsi="宋体" w:eastAsia="宋体"/>
                <w:b w:val="0"/>
                <w:sz w:val="21"/>
              </w:rPr>
              <w:t>3.320</w:t>
            </w:r>
          </w:p>
        </w:tc>
        <w:tc>
          <w:tcPr>
            <w:tcW w:type="dxa" w:w="960"/>
          </w:tcPr>
          <w:p>
            <w:r/>
            <w:r>
              <w:rPr>
                <w:rFonts w:ascii="宋体" w:hAnsi="宋体" w:eastAsia="宋体"/>
                <w:b w:val="0"/>
                <w:sz w:val="21"/>
              </w:rPr>
              <w:t>4.710</w:t>
            </w:r>
          </w:p>
        </w:tc>
        <w:tc>
          <w:tcPr>
            <w:tcW w:type="dxa" w:w="960"/>
          </w:tcPr>
          <w:p>
            <w:r/>
            <w:r>
              <w:rPr>
                <w:rFonts w:ascii="宋体" w:hAnsi="宋体" w:eastAsia="宋体"/>
                <w:b w:val="0"/>
                <w:sz w:val="21"/>
              </w:rPr>
              <w:t>5.829</w:t>
            </w:r>
          </w:p>
        </w:tc>
        <w:tc>
          <w:tcPr>
            <w:tcW w:type="dxa" w:w="960"/>
          </w:tcPr>
          <w:p>
            <w:r/>
            <w:r>
              <w:rPr>
                <w:rFonts w:ascii="宋体" w:hAnsi="宋体" w:eastAsia="宋体"/>
                <w:b w:val="0"/>
                <w:sz w:val="21"/>
              </w:rPr>
              <w:t>9.792</w:t>
            </w:r>
          </w:p>
        </w:tc>
      </w:tr>
      <w:tr>
        <w:tc>
          <w:tcPr>
            <w:tcW w:type="dxa" w:w="960"/>
          </w:tcPr>
          <w:p>
            <w:r/>
            <w:r>
              <w:rPr>
                <w:rFonts w:ascii="宋体" w:hAnsi="宋体" w:eastAsia="宋体"/>
                <w:b w:val="0"/>
                <w:sz w:val="21"/>
              </w:rPr>
              <w:t>TONEml（机器学习语调，百分数）</w:t>
            </w:r>
          </w:p>
        </w:tc>
        <w:tc>
          <w:tcPr>
            <w:tcW w:type="dxa" w:w="960"/>
          </w:tcPr>
          <w:p>
            <w:r/>
            <w:r>
              <w:rPr>
                <w:rFonts w:ascii="宋体" w:hAnsi="宋体" w:eastAsia="宋体"/>
                <w:b w:val="0"/>
                <w:sz w:val="21"/>
              </w:rPr>
              <w:t>112</w:t>
            </w:r>
          </w:p>
        </w:tc>
        <w:tc>
          <w:tcPr>
            <w:tcW w:type="dxa" w:w="960"/>
          </w:tcPr>
          <w:p>
            <w:r/>
            <w:r>
              <w:rPr>
                <w:rFonts w:ascii="宋体" w:hAnsi="宋体" w:eastAsia="宋体"/>
                <w:b w:val="0"/>
                <w:sz w:val="21"/>
              </w:rPr>
              <w:t>50.791</w:t>
            </w:r>
          </w:p>
        </w:tc>
        <w:tc>
          <w:tcPr>
            <w:tcW w:type="dxa" w:w="960"/>
          </w:tcPr>
          <w:p>
            <w:r/>
            <w:r>
              <w:rPr>
                <w:rFonts w:ascii="宋体" w:hAnsi="宋体" w:eastAsia="宋体"/>
                <w:b w:val="0"/>
                <w:sz w:val="21"/>
              </w:rPr>
              <w:t>7.911</w:t>
            </w:r>
          </w:p>
        </w:tc>
        <w:tc>
          <w:tcPr>
            <w:tcW w:type="dxa" w:w="960"/>
          </w:tcPr>
          <w:p>
            <w:r/>
            <w:r>
              <w:rPr>
                <w:rFonts w:ascii="宋体" w:hAnsi="宋体" w:eastAsia="宋体"/>
                <w:b w:val="0"/>
                <w:sz w:val="21"/>
              </w:rPr>
              <w:t>32.178</w:t>
            </w:r>
          </w:p>
        </w:tc>
        <w:tc>
          <w:tcPr>
            <w:tcW w:type="dxa" w:w="960"/>
          </w:tcPr>
          <w:p>
            <w:r/>
            <w:r>
              <w:rPr>
                <w:rFonts w:ascii="宋体" w:hAnsi="宋体" w:eastAsia="宋体"/>
                <w:b w:val="0"/>
                <w:sz w:val="21"/>
              </w:rPr>
              <w:t>46.149</w:t>
            </w:r>
          </w:p>
        </w:tc>
        <w:tc>
          <w:tcPr>
            <w:tcW w:type="dxa" w:w="960"/>
          </w:tcPr>
          <w:p>
            <w:r/>
            <w:r>
              <w:rPr>
                <w:rFonts w:ascii="宋体" w:hAnsi="宋体" w:eastAsia="宋体"/>
                <w:b w:val="0"/>
                <w:sz w:val="21"/>
              </w:rPr>
              <w:t>50.416</w:t>
            </w:r>
          </w:p>
        </w:tc>
        <w:tc>
          <w:tcPr>
            <w:tcW w:type="dxa" w:w="960"/>
          </w:tcPr>
          <w:p>
            <w:r/>
            <w:r>
              <w:rPr>
                <w:rFonts w:ascii="宋体" w:hAnsi="宋体" w:eastAsia="宋体"/>
                <w:b w:val="0"/>
                <w:sz w:val="21"/>
              </w:rPr>
              <w:t>55.796</w:t>
            </w:r>
          </w:p>
        </w:tc>
        <w:tc>
          <w:tcPr>
            <w:tcW w:type="dxa" w:w="960"/>
          </w:tcPr>
          <w:p>
            <w:r/>
            <w:r>
              <w:rPr>
                <w:rFonts w:ascii="宋体" w:hAnsi="宋体" w:eastAsia="宋体"/>
                <w:b w:val="0"/>
                <w:sz w:val="21"/>
              </w:rPr>
              <w:t>70.841</w:t>
            </w:r>
          </w:p>
        </w:tc>
      </w:tr>
      <w:tr>
        <w:tc>
          <w:tcPr>
            <w:tcW w:type="dxa" w:w="960"/>
          </w:tcPr>
          <w:p>
            <w:r/>
            <w:r>
              <w:rPr>
                <w:rFonts w:ascii="宋体" w:hAnsi="宋体" w:eastAsia="宋体"/>
                <w:b w:val="0"/>
                <w:sz w:val="21"/>
              </w:rPr>
              <w:t>TONE_sd（句级语调离散度）</w:t>
            </w:r>
          </w:p>
        </w:tc>
        <w:tc>
          <w:tcPr>
            <w:tcW w:type="dxa" w:w="960"/>
          </w:tcPr>
          <w:p>
            <w:r/>
            <w:r>
              <w:rPr>
                <w:rFonts w:ascii="宋体" w:hAnsi="宋体" w:eastAsia="宋体"/>
                <w:b w:val="0"/>
                <w:sz w:val="21"/>
              </w:rPr>
              <w:t>112</w:t>
            </w:r>
          </w:p>
        </w:tc>
        <w:tc>
          <w:tcPr>
            <w:tcW w:type="dxa" w:w="960"/>
          </w:tcPr>
          <w:p>
            <w:r/>
            <w:r>
              <w:rPr>
                <w:rFonts w:ascii="宋体" w:hAnsi="宋体" w:eastAsia="宋体"/>
                <w:b w:val="0"/>
                <w:sz w:val="21"/>
              </w:rPr>
              <w:t>0.130</w:t>
            </w:r>
          </w:p>
        </w:tc>
        <w:tc>
          <w:tcPr>
            <w:tcW w:type="dxa" w:w="960"/>
          </w:tcPr>
          <w:p>
            <w:r/>
            <w:r>
              <w:rPr>
                <w:rFonts w:ascii="宋体" w:hAnsi="宋体" w:eastAsia="宋体"/>
                <w:b w:val="0"/>
                <w:sz w:val="21"/>
              </w:rPr>
              <w:t>0.017</w:t>
            </w:r>
          </w:p>
        </w:tc>
        <w:tc>
          <w:tcPr>
            <w:tcW w:type="dxa" w:w="960"/>
          </w:tcPr>
          <w:p>
            <w:r/>
            <w:r>
              <w:rPr>
                <w:rFonts w:ascii="宋体" w:hAnsi="宋体" w:eastAsia="宋体"/>
                <w:b w:val="0"/>
                <w:sz w:val="21"/>
              </w:rPr>
              <w:t>0.089</w:t>
            </w:r>
          </w:p>
        </w:tc>
        <w:tc>
          <w:tcPr>
            <w:tcW w:type="dxa" w:w="960"/>
          </w:tcPr>
          <w:p>
            <w:r/>
            <w:r>
              <w:rPr>
                <w:rFonts w:ascii="宋体" w:hAnsi="宋体" w:eastAsia="宋体"/>
                <w:b w:val="0"/>
                <w:sz w:val="21"/>
              </w:rPr>
              <w:t>0.118</w:t>
            </w:r>
          </w:p>
        </w:tc>
        <w:tc>
          <w:tcPr>
            <w:tcW w:type="dxa" w:w="960"/>
          </w:tcPr>
          <w:p>
            <w:r/>
            <w:r>
              <w:rPr>
                <w:rFonts w:ascii="宋体" w:hAnsi="宋体" w:eastAsia="宋体"/>
                <w:b w:val="0"/>
                <w:sz w:val="21"/>
              </w:rPr>
              <w:t>0.128</w:t>
            </w:r>
          </w:p>
        </w:tc>
        <w:tc>
          <w:tcPr>
            <w:tcW w:type="dxa" w:w="960"/>
          </w:tcPr>
          <w:p>
            <w:r/>
            <w:r>
              <w:rPr>
                <w:rFonts w:ascii="宋体" w:hAnsi="宋体" w:eastAsia="宋体"/>
                <w:b w:val="0"/>
                <w:sz w:val="21"/>
              </w:rPr>
              <w:t>0.143</w:t>
            </w:r>
          </w:p>
        </w:tc>
        <w:tc>
          <w:tcPr>
            <w:tcW w:type="dxa" w:w="960"/>
          </w:tcPr>
          <w:p>
            <w:r/>
            <w:r>
              <w:rPr>
                <w:rFonts w:ascii="宋体" w:hAnsi="宋体" w:eastAsia="宋体"/>
                <w:b w:val="0"/>
                <w:sz w:val="21"/>
              </w:rPr>
              <w:t>0.174</w:t>
            </w:r>
          </w:p>
        </w:tc>
      </w:tr>
      <w:tr>
        <w:tc>
          <w:tcPr>
            <w:tcW w:type="dxa" w:w="960"/>
          </w:tcPr>
          <w:p>
            <w:r/>
            <w:r>
              <w:rPr>
                <w:rFonts w:ascii="宋体" w:hAnsi="宋体" w:eastAsia="宋体"/>
                <w:b w:val="0"/>
                <w:sz w:val="21"/>
              </w:rPr>
              <w:t>roa_next（下一年 ROA，%）</w:t>
            </w:r>
          </w:p>
        </w:tc>
        <w:tc>
          <w:tcPr>
            <w:tcW w:type="dxa" w:w="960"/>
          </w:tcPr>
          <w:p>
            <w:r/>
            <w:r>
              <w:rPr>
                <w:rFonts w:ascii="宋体" w:hAnsi="宋体" w:eastAsia="宋体"/>
                <w:b w:val="0"/>
                <w:sz w:val="21"/>
              </w:rPr>
              <w:t>112</w:t>
            </w:r>
          </w:p>
        </w:tc>
        <w:tc>
          <w:tcPr>
            <w:tcW w:type="dxa" w:w="960"/>
          </w:tcPr>
          <w:p>
            <w:r/>
            <w:r>
              <w:rPr>
                <w:rFonts w:ascii="宋体" w:hAnsi="宋体" w:eastAsia="宋体"/>
                <w:b w:val="0"/>
                <w:sz w:val="21"/>
              </w:rPr>
              <w:t>7.035</w:t>
            </w:r>
          </w:p>
        </w:tc>
        <w:tc>
          <w:tcPr>
            <w:tcW w:type="dxa" w:w="960"/>
          </w:tcPr>
          <w:p>
            <w:r/>
            <w:r>
              <w:rPr>
                <w:rFonts w:ascii="宋体" w:hAnsi="宋体" w:eastAsia="宋体"/>
                <w:b w:val="0"/>
                <w:sz w:val="21"/>
              </w:rPr>
              <w:t>6.670</w:t>
            </w:r>
          </w:p>
        </w:tc>
        <w:tc>
          <w:tcPr>
            <w:tcW w:type="dxa" w:w="960"/>
          </w:tcPr>
          <w:p>
            <w:r/>
            <w:r>
              <w:rPr>
                <w:rFonts w:ascii="宋体" w:hAnsi="宋体" w:eastAsia="宋体"/>
                <w:b w:val="0"/>
                <w:sz w:val="21"/>
              </w:rPr>
              <w:t>−5.328</w:t>
            </w:r>
          </w:p>
        </w:tc>
        <w:tc>
          <w:tcPr>
            <w:tcW w:type="dxa" w:w="960"/>
          </w:tcPr>
          <w:p>
            <w:r/>
            <w:r>
              <w:rPr>
                <w:rFonts w:ascii="宋体" w:hAnsi="宋体" w:eastAsia="宋体"/>
                <w:b w:val="0"/>
                <w:sz w:val="21"/>
              </w:rPr>
              <w:t>2.940</w:t>
            </w:r>
          </w:p>
        </w:tc>
        <w:tc>
          <w:tcPr>
            <w:tcW w:type="dxa" w:w="960"/>
          </w:tcPr>
          <w:p>
            <w:r/>
            <w:r>
              <w:rPr>
                <w:rFonts w:ascii="宋体" w:hAnsi="宋体" w:eastAsia="宋体"/>
                <w:b w:val="0"/>
                <w:sz w:val="21"/>
              </w:rPr>
              <w:t>5.735</w:t>
            </w:r>
          </w:p>
        </w:tc>
        <w:tc>
          <w:tcPr>
            <w:tcW w:type="dxa" w:w="960"/>
          </w:tcPr>
          <w:p>
            <w:r/>
            <w:r>
              <w:rPr>
                <w:rFonts w:ascii="宋体" w:hAnsi="宋体" w:eastAsia="宋体"/>
                <w:b w:val="0"/>
                <w:sz w:val="21"/>
              </w:rPr>
              <w:t>8.833</w:t>
            </w:r>
          </w:p>
        </w:tc>
        <w:tc>
          <w:tcPr>
            <w:tcW w:type="dxa" w:w="960"/>
          </w:tcPr>
          <w:p>
            <w:r/>
            <w:r>
              <w:rPr>
                <w:rFonts w:ascii="宋体" w:hAnsi="宋体" w:eastAsia="宋体"/>
                <w:b w:val="0"/>
                <w:sz w:val="21"/>
              </w:rPr>
              <w:t>29.287</w:t>
            </w:r>
          </w:p>
        </w:tc>
      </w:tr>
      <w:tr>
        <w:tc>
          <w:tcPr>
            <w:tcW w:type="dxa" w:w="960"/>
          </w:tcPr>
          <w:p>
            <w:r/>
            <w:r>
              <w:rPr>
                <w:rFonts w:ascii="宋体" w:hAnsi="宋体" w:eastAsia="宋体"/>
                <w:b w:val="0"/>
                <w:sz w:val="21"/>
              </w:rPr>
              <w:t>roa（当期 ROA，%）</w:t>
            </w:r>
          </w:p>
        </w:tc>
        <w:tc>
          <w:tcPr>
            <w:tcW w:type="dxa" w:w="960"/>
          </w:tcPr>
          <w:p>
            <w:r/>
            <w:r>
              <w:rPr>
                <w:rFonts w:ascii="宋体" w:hAnsi="宋体" w:eastAsia="宋体"/>
                <w:b w:val="0"/>
                <w:sz w:val="21"/>
              </w:rPr>
              <w:t>112</w:t>
            </w:r>
          </w:p>
        </w:tc>
        <w:tc>
          <w:tcPr>
            <w:tcW w:type="dxa" w:w="960"/>
          </w:tcPr>
          <w:p>
            <w:r/>
            <w:r>
              <w:rPr>
                <w:rFonts w:ascii="宋体" w:hAnsi="宋体" w:eastAsia="宋体"/>
                <w:b w:val="0"/>
                <w:sz w:val="21"/>
              </w:rPr>
              <w:t>7.884</w:t>
            </w:r>
          </w:p>
        </w:tc>
        <w:tc>
          <w:tcPr>
            <w:tcW w:type="dxa" w:w="960"/>
          </w:tcPr>
          <w:p>
            <w:r/>
            <w:r>
              <w:rPr>
                <w:rFonts w:ascii="宋体" w:hAnsi="宋体" w:eastAsia="宋体"/>
                <w:b w:val="0"/>
                <w:sz w:val="21"/>
              </w:rPr>
              <w:t>7.064</w:t>
            </w:r>
          </w:p>
        </w:tc>
        <w:tc>
          <w:tcPr>
            <w:tcW w:type="dxa" w:w="960"/>
          </w:tcPr>
          <w:p>
            <w:r/>
            <w:r>
              <w:rPr>
                <w:rFonts w:ascii="宋体" w:hAnsi="宋体" w:eastAsia="宋体"/>
                <w:b w:val="0"/>
                <w:sz w:val="21"/>
              </w:rPr>
              <w:t>−3.407</w:t>
            </w:r>
          </w:p>
        </w:tc>
        <w:tc>
          <w:tcPr>
            <w:tcW w:type="dxa" w:w="960"/>
          </w:tcPr>
          <w:p>
            <w:r/>
            <w:r>
              <w:rPr>
                <w:rFonts w:ascii="宋体" w:hAnsi="宋体" w:eastAsia="宋体"/>
                <w:b w:val="0"/>
                <w:sz w:val="21"/>
              </w:rPr>
              <w:t>3.042</w:t>
            </w:r>
          </w:p>
        </w:tc>
        <w:tc>
          <w:tcPr>
            <w:tcW w:type="dxa" w:w="960"/>
          </w:tcPr>
          <w:p>
            <w:r/>
            <w:r>
              <w:rPr>
                <w:rFonts w:ascii="宋体" w:hAnsi="宋体" w:eastAsia="宋体"/>
                <w:b w:val="0"/>
                <w:sz w:val="21"/>
              </w:rPr>
              <w:t>6.959</w:t>
            </w:r>
          </w:p>
        </w:tc>
        <w:tc>
          <w:tcPr>
            <w:tcW w:type="dxa" w:w="960"/>
          </w:tcPr>
          <w:p>
            <w:r/>
            <w:r>
              <w:rPr>
                <w:rFonts w:ascii="宋体" w:hAnsi="宋体" w:eastAsia="宋体"/>
                <w:b w:val="0"/>
                <w:sz w:val="21"/>
              </w:rPr>
              <w:t>9.118</w:t>
            </w:r>
          </w:p>
        </w:tc>
        <w:tc>
          <w:tcPr>
            <w:tcW w:type="dxa" w:w="960"/>
          </w:tcPr>
          <w:p>
            <w:r/>
            <w:r>
              <w:rPr>
                <w:rFonts w:ascii="宋体" w:hAnsi="宋体" w:eastAsia="宋体"/>
                <w:b w:val="0"/>
                <w:sz w:val="21"/>
              </w:rPr>
              <w:t>31.052</w:t>
            </w:r>
          </w:p>
        </w:tc>
      </w:tr>
      <w:tr>
        <w:tc>
          <w:tcPr>
            <w:tcW w:type="dxa" w:w="960"/>
          </w:tcPr>
          <w:p>
            <w:r/>
            <w:r>
              <w:rPr>
                <w:rFonts w:ascii="宋体" w:hAnsi="宋体" w:eastAsia="宋体"/>
                <w:b w:val="0"/>
                <w:sz w:val="21"/>
              </w:rPr>
              <w:t>size（ln 营业总收入）</w:t>
            </w:r>
          </w:p>
        </w:tc>
        <w:tc>
          <w:tcPr>
            <w:tcW w:type="dxa" w:w="960"/>
          </w:tcPr>
          <w:p>
            <w:r/>
            <w:r>
              <w:rPr>
                <w:rFonts w:ascii="宋体" w:hAnsi="宋体" w:eastAsia="宋体"/>
                <w:b w:val="0"/>
                <w:sz w:val="21"/>
              </w:rPr>
              <w:t>112</w:t>
            </w:r>
          </w:p>
        </w:tc>
        <w:tc>
          <w:tcPr>
            <w:tcW w:type="dxa" w:w="960"/>
          </w:tcPr>
          <w:p>
            <w:r/>
            <w:r>
              <w:rPr>
                <w:rFonts w:ascii="宋体" w:hAnsi="宋体" w:eastAsia="宋体"/>
                <w:b w:val="0"/>
                <w:sz w:val="21"/>
              </w:rPr>
              <w:t>25.496</w:t>
            </w:r>
          </w:p>
        </w:tc>
        <w:tc>
          <w:tcPr>
            <w:tcW w:type="dxa" w:w="960"/>
          </w:tcPr>
          <w:p>
            <w:r/>
            <w:r>
              <w:rPr>
                <w:rFonts w:ascii="宋体" w:hAnsi="宋体" w:eastAsia="宋体"/>
                <w:b w:val="0"/>
                <w:sz w:val="21"/>
              </w:rPr>
              <w:t>1.252</w:t>
            </w:r>
          </w:p>
        </w:tc>
        <w:tc>
          <w:tcPr>
            <w:tcW w:type="dxa" w:w="960"/>
          </w:tcPr>
          <w:p>
            <w:r/>
            <w:r>
              <w:rPr>
                <w:rFonts w:ascii="宋体" w:hAnsi="宋体" w:eastAsia="宋体"/>
                <w:b w:val="0"/>
                <w:sz w:val="21"/>
              </w:rPr>
              <w:t>22.924</w:t>
            </w:r>
          </w:p>
        </w:tc>
        <w:tc>
          <w:tcPr>
            <w:tcW w:type="dxa" w:w="960"/>
          </w:tcPr>
          <w:p>
            <w:r/>
            <w:r>
              <w:rPr>
                <w:rFonts w:ascii="宋体" w:hAnsi="宋体" w:eastAsia="宋体"/>
                <w:b w:val="0"/>
                <w:sz w:val="21"/>
              </w:rPr>
              <w:t>24.566</w:t>
            </w:r>
          </w:p>
        </w:tc>
        <w:tc>
          <w:tcPr>
            <w:tcW w:type="dxa" w:w="960"/>
          </w:tcPr>
          <w:p>
            <w:r/>
            <w:r>
              <w:rPr>
                <w:rFonts w:ascii="宋体" w:hAnsi="宋体" w:eastAsia="宋体"/>
                <w:b w:val="0"/>
                <w:sz w:val="21"/>
              </w:rPr>
              <w:t>25.446</w:t>
            </w:r>
          </w:p>
        </w:tc>
        <w:tc>
          <w:tcPr>
            <w:tcW w:type="dxa" w:w="960"/>
          </w:tcPr>
          <w:p>
            <w:r/>
            <w:r>
              <w:rPr>
                <w:rFonts w:ascii="宋体" w:hAnsi="宋体" w:eastAsia="宋体"/>
                <w:b w:val="0"/>
                <w:sz w:val="21"/>
              </w:rPr>
              <w:t>26.243</w:t>
            </w:r>
          </w:p>
        </w:tc>
        <w:tc>
          <w:tcPr>
            <w:tcW w:type="dxa" w:w="960"/>
          </w:tcPr>
          <w:p>
            <w:r/>
            <w:r>
              <w:rPr>
                <w:rFonts w:ascii="宋体" w:hAnsi="宋体" w:eastAsia="宋体"/>
                <w:b w:val="0"/>
                <w:sz w:val="21"/>
              </w:rPr>
              <w:t>28.793</w:t>
            </w:r>
          </w:p>
        </w:tc>
      </w:tr>
      <w:tr>
        <w:tc>
          <w:tcPr>
            <w:tcW w:type="dxa" w:w="960"/>
          </w:tcPr>
          <w:p>
            <w:r/>
            <w:r>
              <w:rPr>
                <w:rFonts w:ascii="宋体" w:hAnsi="宋体" w:eastAsia="宋体"/>
                <w:b w:val="0"/>
                <w:sz w:val="21"/>
              </w:rPr>
              <w:t>lev（资产负债率，%）</w:t>
            </w:r>
          </w:p>
        </w:tc>
        <w:tc>
          <w:tcPr>
            <w:tcW w:type="dxa" w:w="960"/>
          </w:tcPr>
          <w:p>
            <w:r/>
            <w:r>
              <w:rPr>
                <w:rFonts w:ascii="宋体" w:hAnsi="宋体" w:eastAsia="宋体"/>
                <w:b w:val="0"/>
                <w:sz w:val="21"/>
              </w:rPr>
              <w:t>112</w:t>
            </w:r>
          </w:p>
        </w:tc>
        <w:tc>
          <w:tcPr>
            <w:tcW w:type="dxa" w:w="960"/>
          </w:tcPr>
          <w:p>
            <w:r/>
            <w:r>
              <w:rPr>
                <w:rFonts w:ascii="宋体" w:hAnsi="宋体" w:eastAsia="宋体"/>
                <w:b w:val="0"/>
                <w:sz w:val="21"/>
              </w:rPr>
              <w:t>50.804</w:t>
            </w:r>
          </w:p>
        </w:tc>
        <w:tc>
          <w:tcPr>
            <w:tcW w:type="dxa" w:w="960"/>
          </w:tcPr>
          <w:p>
            <w:r/>
            <w:r>
              <w:rPr>
                <w:rFonts w:ascii="宋体" w:hAnsi="宋体" w:eastAsia="宋体"/>
                <w:b w:val="0"/>
                <w:sz w:val="21"/>
              </w:rPr>
              <w:t>18.942</w:t>
            </w:r>
          </w:p>
        </w:tc>
        <w:tc>
          <w:tcPr>
            <w:tcW w:type="dxa" w:w="960"/>
          </w:tcPr>
          <w:p>
            <w:r/>
            <w:r>
              <w:rPr>
                <w:rFonts w:ascii="宋体" w:hAnsi="宋体" w:eastAsia="宋体"/>
                <w:b w:val="0"/>
                <w:sz w:val="21"/>
              </w:rPr>
              <w:t>8.209</w:t>
            </w:r>
          </w:p>
        </w:tc>
        <w:tc>
          <w:tcPr>
            <w:tcW w:type="dxa" w:w="960"/>
          </w:tcPr>
          <w:p>
            <w:r/>
            <w:r>
              <w:rPr>
                <w:rFonts w:ascii="宋体" w:hAnsi="宋体" w:eastAsia="宋体"/>
                <w:b w:val="0"/>
                <w:sz w:val="21"/>
              </w:rPr>
              <w:t>33.146</w:t>
            </w:r>
          </w:p>
        </w:tc>
        <w:tc>
          <w:tcPr>
            <w:tcW w:type="dxa" w:w="960"/>
          </w:tcPr>
          <w:p>
            <w:r/>
            <w:r>
              <w:rPr>
                <w:rFonts w:ascii="宋体" w:hAnsi="宋体" w:eastAsia="宋体"/>
                <w:b w:val="0"/>
                <w:sz w:val="21"/>
              </w:rPr>
              <w:t>57.073</w:t>
            </w:r>
          </w:p>
        </w:tc>
        <w:tc>
          <w:tcPr>
            <w:tcW w:type="dxa" w:w="960"/>
          </w:tcPr>
          <w:p>
            <w:r/>
            <w:r>
              <w:rPr>
                <w:rFonts w:ascii="宋体" w:hAnsi="宋体" w:eastAsia="宋体"/>
                <w:b w:val="0"/>
                <w:sz w:val="21"/>
              </w:rPr>
              <w:t>64.070</w:t>
            </w:r>
          </w:p>
        </w:tc>
        <w:tc>
          <w:tcPr>
            <w:tcW w:type="dxa" w:w="960"/>
          </w:tcPr>
          <w:p>
            <w:r/>
            <w:r>
              <w:rPr>
                <w:rFonts w:ascii="宋体" w:hAnsi="宋体" w:eastAsia="宋体"/>
                <w:b w:val="0"/>
                <w:sz w:val="21"/>
              </w:rPr>
              <w:t>77.756</w:t>
            </w:r>
          </w:p>
        </w:tc>
      </w:tr>
      <w:tr>
        <w:tc>
          <w:tcPr>
            <w:tcW w:type="dxa" w:w="960"/>
          </w:tcPr>
          <w:p>
            <w:r/>
            <w:r>
              <w:rPr>
                <w:rFonts w:ascii="宋体" w:hAnsi="宋体" w:eastAsia="宋体"/>
                <w:b w:val="0"/>
                <w:sz w:val="21"/>
              </w:rPr>
              <w:t>revGrowth（营收同比增速，%）</w:t>
            </w:r>
          </w:p>
        </w:tc>
        <w:tc>
          <w:tcPr>
            <w:tcW w:type="dxa" w:w="960"/>
          </w:tcPr>
          <w:p>
            <w:r/>
            <w:r>
              <w:rPr>
                <w:rFonts w:ascii="宋体" w:hAnsi="宋体" w:eastAsia="宋体"/>
                <w:b w:val="0"/>
                <w:sz w:val="21"/>
              </w:rPr>
              <w:t>112</w:t>
            </w:r>
          </w:p>
        </w:tc>
        <w:tc>
          <w:tcPr>
            <w:tcW w:type="dxa" w:w="960"/>
          </w:tcPr>
          <w:p>
            <w:r/>
            <w:r>
              <w:rPr>
                <w:rFonts w:ascii="宋体" w:hAnsi="宋体" w:eastAsia="宋体"/>
                <w:b w:val="0"/>
                <w:sz w:val="21"/>
              </w:rPr>
              <w:t>9.630</w:t>
            </w:r>
          </w:p>
        </w:tc>
        <w:tc>
          <w:tcPr>
            <w:tcW w:type="dxa" w:w="960"/>
          </w:tcPr>
          <w:p>
            <w:r/>
            <w:r>
              <w:rPr>
                <w:rFonts w:ascii="宋体" w:hAnsi="宋体" w:eastAsia="宋体"/>
                <w:b w:val="0"/>
                <w:sz w:val="21"/>
              </w:rPr>
              <w:t>27.000</w:t>
            </w:r>
          </w:p>
        </w:tc>
        <w:tc>
          <w:tcPr>
            <w:tcW w:type="dxa" w:w="960"/>
          </w:tcPr>
          <w:p>
            <w:r/>
            <w:r>
              <w:rPr>
                <w:rFonts w:ascii="宋体" w:hAnsi="宋体" w:eastAsia="宋体"/>
                <w:b w:val="0"/>
                <w:sz w:val="21"/>
              </w:rPr>
              <w:t>−37.791</w:t>
            </w:r>
          </w:p>
        </w:tc>
        <w:tc>
          <w:tcPr>
            <w:tcW w:type="dxa" w:w="960"/>
          </w:tcPr>
          <w:p>
            <w:r/>
            <w:r>
              <w:rPr>
                <w:rFonts w:ascii="宋体" w:hAnsi="宋体" w:eastAsia="宋体"/>
                <w:b w:val="0"/>
                <w:sz w:val="21"/>
              </w:rPr>
              <w:t>−3.243</w:t>
            </w:r>
          </w:p>
        </w:tc>
        <w:tc>
          <w:tcPr>
            <w:tcW w:type="dxa" w:w="960"/>
          </w:tcPr>
          <w:p>
            <w:r/>
            <w:r>
              <w:rPr>
                <w:rFonts w:ascii="宋体" w:hAnsi="宋体" w:eastAsia="宋体"/>
                <w:b w:val="0"/>
                <w:sz w:val="21"/>
              </w:rPr>
              <w:t>7.257</w:t>
            </w:r>
          </w:p>
        </w:tc>
        <w:tc>
          <w:tcPr>
            <w:tcW w:type="dxa" w:w="960"/>
          </w:tcPr>
          <w:p>
            <w:r/>
            <w:r>
              <w:rPr>
                <w:rFonts w:ascii="宋体" w:hAnsi="宋体" w:eastAsia="宋体"/>
                <w:b w:val="0"/>
                <w:sz w:val="21"/>
              </w:rPr>
              <w:t>15.725</w:t>
            </w:r>
          </w:p>
        </w:tc>
        <w:tc>
          <w:tcPr>
            <w:tcW w:type="dxa" w:w="960"/>
          </w:tcPr>
          <w:p>
            <w:r/>
            <w:r>
              <w:rPr>
                <w:rFonts w:ascii="宋体" w:hAnsi="宋体" w:eastAsia="宋体"/>
                <w:b w:val="0"/>
                <w:sz w:val="21"/>
              </w:rPr>
              <w:t>145.928</w:t>
            </w:r>
          </w:p>
        </w:tc>
      </w:tr>
    </w:tbl>
    <w:p>
      <w:pPr>
        <w:spacing w:after="120" w:line="360" w:lineRule="auto"/>
        <w:ind w:firstLine="480"/>
      </w:pPr>
      <w:r>
        <w:rPr>
          <w:rFonts w:ascii="宋体" w:hAnsi="宋体" w:eastAsia="宋体"/>
          <w:b w:val="0"/>
          <w:sz w:val="24"/>
        </w:rPr>
        <w:t>净语调 TONE 的均值为 4.741%、标准差 1.831%，取值范围 0.634%—9.792%，全样本为正。这一分布有两个值得讨论的特征。第一，</w:t>
      </w:r>
      <w:r>
        <w:rPr>
          <w:rFonts w:ascii="宋体" w:hAnsi="宋体" w:eastAsia="宋体"/>
          <w:b/>
          <w:sz w:val="24"/>
        </w:rPr>
        <w:t>语调整体偏正</w:t>
      </w:r>
      <w:r>
        <w:rPr>
          <w:rFonts w:ascii="宋体" w:hAnsi="宋体" w:eastAsia="宋体"/>
          <w:b w:val="0"/>
          <w:sz w:val="24"/>
        </w:rPr>
        <w:t>：即使是对照组的"负语调"样本，其 Tone 仍为正数，说明"正面词多于负面词"是 MD&amp;A 的普遍特征。这与既有文献中"年报文本天然偏乐观"的发现一致，也提示语调水平的绝对值本身信息量有限，真正有信息的是语调的</w:t>
      </w:r>
      <w:r>
        <w:rPr>
          <w:rFonts w:ascii="宋体" w:hAnsi="宋体" w:eastAsia="宋体"/>
          <w:b/>
          <w:sz w:val="24"/>
        </w:rPr>
        <w:t>相对位置</w:t>
      </w:r>
      <w:r>
        <w:rPr>
          <w:rFonts w:ascii="宋体" w:hAnsi="宋体" w:eastAsia="宋体"/>
          <w:b w:val="0"/>
          <w:sz w:val="24"/>
        </w:rPr>
        <w:t>——这正是后续分析采用横截面相对口径（D_overOptim）与面板固定效应（吸收公司层面均值）的原因。第二，</w:t>
      </w:r>
      <w:r>
        <w:rPr>
          <w:rFonts w:ascii="宋体" w:hAnsi="宋体" w:eastAsia="宋体"/>
          <w:b/>
          <w:sz w:val="24"/>
        </w:rPr>
        <w:t>离散程度适中</w:t>
      </w:r>
      <w:r>
        <w:rPr>
          <w:rFonts w:ascii="宋体" w:hAnsi="宋体" w:eastAsia="宋体"/>
          <w:b w:val="0"/>
          <w:sz w:val="24"/>
        </w:rPr>
        <w:t>：标准差 1.831% 与均值 4.741% 相比，变异系数约 0.39，说明语调在样本内具有足够的分辨能力，不至于因过度集中而丧失统计效力。TONE_sd 的均值为 0.130，说明同一份 MD&amp;A 中句与句之间的语调确实存在波动，管理层在文档内并非用统一的语气说话。</w:t>
      </w:r>
    </w:p>
    <w:p>
      <w:pPr>
        <w:spacing w:after="120" w:line="360" w:lineRule="auto"/>
        <w:ind w:firstLine="480"/>
      </w:pPr>
      <w:r>
        <w:rPr>
          <w:rFonts w:ascii="宋体" w:hAnsi="宋体" w:eastAsia="宋体"/>
          <w:b w:val="0"/>
          <w:sz w:val="24"/>
        </w:rPr>
        <w:t>被解释变量 roa_next 均值 7.035%、标准差 6.670%，取值区间 −5.328%—29.287%；当期 roa 均值 7.884%、标准差 7.064%。</w:t>
      </w:r>
      <w:r>
        <w:rPr>
          <w:rFonts w:ascii="宋体" w:hAnsi="宋体" w:eastAsia="宋体"/>
          <w:b/>
          <w:sz w:val="24"/>
        </w:rPr>
        <w:t>当期与未来业绩的均值接近但前者略高，反映样本公司在样本期内整体呈现温和的业绩下行</w:t>
      </w:r>
      <w:r>
        <w:rPr>
          <w:rFonts w:ascii="宋体" w:hAnsi="宋体" w:eastAsia="宋体"/>
          <w:b w:val="0"/>
          <w:sz w:val="24"/>
        </w:rPr>
        <w:t>；标准差均在 6.7%—7.1% 之间，说明样本内业绩差异明显，被解释变量具备充分的横截面变异。控制变量方面，lev 均值 50.804%、标准差 18.942，说明样本公司的杠杆水平差异较大，为 H3 的高杠杆分组提供了足够的样本分散度。revGrowth 均值 9.630% 但标准差高达 27.000%、范围为 −37.791%—145.928%，说明样本中同时包含高速成长与明显收缩的企业，增长率的极端值已通过 1% 缩尾处理控制。</w:t>
      </w:r>
    </w:p>
    <w:p>
      <w:pPr>
        <w:spacing w:before="200" w:after="160"/>
      </w:pPr>
      <w:r>
        <w:rPr>
          <w:rFonts w:ascii="黑体" w:hAnsi="黑体" w:eastAsia="黑体"/>
          <w:b/>
          <w:sz w:val="25"/>
        </w:rPr>
        <w:t>5.3 相关分析</w:t>
      </w:r>
    </w:p>
    <w:p>
      <w:pPr>
        <w:spacing w:after="120" w:line="360" w:lineRule="auto"/>
        <w:ind w:firstLine="480"/>
      </w:pPr>
      <w:r>
        <w:rPr>
          <w:rFonts w:ascii="宋体" w:hAnsi="宋体" w:eastAsia="宋体"/>
          <w:b/>
          <w:sz w:val="24"/>
        </w:rPr>
        <w:t>表 5</w:t>
      </w:r>
      <w:r>
        <w:rPr>
          <w:rFonts w:ascii="宋体" w:hAnsi="宋体" w:eastAsia="宋体"/>
          <w:b w:val="0"/>
          <w:sz w:val="24"/>
        </w:rPr>
        <w:t xml:space="preserve"> 报告主要变量的皮尔逊相关系数矩阵。</w:t>
      </w:r>
    </w:p>
    <w:p>
      <w:pPr>
        <w:spacing w:after="120" w:line="360" w:lineRule="auto"/>
        <w:ind w:firstLine="480"/>
      </w:pPr>
      <w:r>
        <w:rPr>
          <w:rFonts w:ascii="宋体" w:hAnsi="宋体" w:eastAsia="宋体"/>
          <w:b/>
          <w:sz w:val="24"/>
        </w:rPr>
        <w:t>表 5  主要变量相关系数矩阵</w:t>
      </w:r>
      <w:r>
        <w:rPr>
          <w:rFonts w:ascii="宋体" w:hAnsi="宋体" w:eastAsia="宋体"/>
          <w:b w:val="0"/>
          <w:sz w:val="24"/>
        </w:rPr>
        <w:t xml:space="preserve">（对应文件 </w:t>
      </w:r>
      <w:r>
        <w:rPr>
          <w:rFonts w:ascii="Consolas" w:hAnsi="Consolas" w:eastAsia="Consolas"/>
          <w:b w:val="0"/>
          <w:sz w:val="22"/>
        </w:rPr>
        <w:t>output/tables/tab3_corr.csv</w:t>
      </w:r>
      <w:r>
        <w:rPr>
          <w:rFonts w:ascii="宋体" w:hAnsi="宋体" w:eastAsia="宋体"/>
          <w:b w:val="0"/>
          <w:sz w:val="24"/>
        </w:rPr>
        <w: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宋体" w:hAnsi="宋体" w:eastAsia="宋体"/>
                <w:b/>
                <w:sz w:val="21"/>
              </w:rPr>
              <w:t>变量</w:t>
            </w:r>
          </w:p>
        </w:tc>
        <w:tc>
          <w:tcPr>
            <w:tcW w:type="dxa" w:w="1080"/>
          </w:tcPr>
          <w:p>
            <w:pPr>
              <w:jc w:val="center"/>
            </w:pPr>
            <w:r/>
            <w:r>
              <w:rPr>
                <w:rFonts w:ascii="宋体" w:hAnsi="宋体" w:eastAsia="宋体"/>
                <w:b/>
                <w:sz w:val="21"/>
              </w:rPr>
              <w:t>TONE</w:t>
            </w:r>
          </w:p>
        </w:tc>
        <w:tc>
          <w:tcPr>
            <w:tcW w:type="dxa" w:w="1080"/>
          </w:tcPr>
          <w:p>
            <w:pPr>
              <w:jc w:val="center"/>
            </w:pPr>
            <w:r/>
            <w:r>
              <w:rPr>
                <w:rFonts w:ascii="宋体" w:hAnsi="宋体" w:eastAsia="宋体"/>
                <w:b/>
                <w:sz w:val="21"/>
              </w:rPr>
              <w:t>TONEml</w:t>
            </w:r>
          </w:p>
        </w:tc>
        <w:tc>
          <w:tcPr>
            <w:tcW w:type="dxa" w:w="1080"/>
          </w:tcPr>
          <w:p>
            <w:pPr>
              <w:jc w:val="center"/>
            </w:pPr>
            <w:r/>
            <w:r>
              <w:rPr>
                <w:rFonts w:ascii="宋体" w:hAnsi="宋体" w:eastAsia="宋体"/>
                <w:b/>
                <w:sz w:val="21"/>
              </w:rPr>
              <w:t>TONE_sd</w:t>
            </w:r>
          </w:p>
        </w:tc>
        <w:tc>
          <w:tcPr>
            <w:tcW w:type="dxa" w:w="1080"/>
          </w:tcPr>
          <w:p>
            <w:pPr>
              <w:jc w:val="center"/>
            </w:pPr>
            <w:r/>
            <w:r>
              <w:rPr>
                <w:rFonts w:ascii="宋体" w:hAnsi="宋体" w:eastAsia="宋体"/>
                <w:b/>
                <w:sz w:val="21"/>
              </w:rPr>
              <w:t>roa_next</w:t>
            </w:r>
          </w:p>
        </w:tc>
        <w:tc>
          <w:tcPr>
            <w:tcW w:type="dxa" w:w="1080"/>
          </w:tcPr>
          <w:p>
            <w:pPr>
              <w:jc w:val="center"/>
            </w:pPr>
            <w:r/>
            <w:r>
              <w:rPr>
                <w:rFonts w:ascii="宋体" w:hAnsi="宋体" w:eastAsia="宋体"/>
                <w:b/>
                <w:sz w:val="21"/>
              </w:rPr>
              <w:t>roa</w:t>
            </w:r>
          </w:p>
        </w:tc>
        <w:tc>
          <w:tcPr>
            <w:tcW w:type="dxa" w:w="1080"/>
          </w:tcPr>
          <w:p>
            <w:pPr>
              <w:jc w:val="center"/>
            </w:pPr>
            <w:r/>
            <w:r>
              <w:rPr>
                <w:rFonts w:ascii="宋体" w:hAnsi="宋体" w:eastAsia="宋体"/>
                <w:b/>
                <w:sz w:val="21"/>
              </w:rPr>
              <w:t>lev</w:t>
            </w:r>
          </w:p>
        </w:tc>
        <w:tc>
          <w:tcPr>
            <w:tcW w:type="dxa" w:w="1080"/>
          </w:tcPr>
          <w:p>
            <w:pPr>
              <w:jc w:val="center"/>
            </w:pPr>
            <w:r/>
            <w:r>
              <w:rPr>
                <w:rFonts w:ascii="宋体" w:hAnsi="宋体" w:eastAsia="宋体"/>
                <w:b/>
                <w:sz w:val="21"/>
              </w:rPr>
              <w:t>revGrowth</w:t>
            </w:r>
          </w:p>
        </w:tc>
      </w:tr>
      <w:tr>
        <w:tc>
          <w:tcPr>
            <w:tcW w:type="dxa" w:w="1080"/>
          </w:tcPr>
          <w:p>
            <w:r/>
            <w:r>
              <w:rPr>
                <w:rFonts w:ascii="宋体" w:hAnsi="宋体" w:eastAsia="宋体"/>
                <w:b w:val="0"/>
                <w:sz w:val="21"/>
              </w:rPr>
              <w:t>TONE</w:t>
            </w:r>
          </w:p>
        </w:tc>
        <w:tc>
          <w:tcPr>
            <w:tcW w:type="dxa" w:w="1080"/>
          </w:tcPr>
          <w:p>
            <w:r/>
            <w:r>
              <w:rPr>
                <w:rFonts w:ascii="宋体" w:hAnsi="宋体" w:eastAsia="宋体"/>
                <w:b w:val="0"/>
                <w:sz w:val="21"/>
              </w:rPr>
              <w:t>1.000</w:t>
            </w:r>
          </w:p>
        </w:tc>
        <w:tc>
          <w:tcPr>
            <w:tcW w:type="dxa" w:w="1080"/>
          </w:tcPr>
          <w:p>
            <w:r/>
            <w:r>
              <w:rPr>
                <w:rFonts w:ascii="宋体" w:hAnsi="宋体" w:eastAsia="宋体"/>
                <w:b w:val="0"/>
                <w:sz w:val="21"/>
              </w:rPr>
              <w:t>0.548</w:t>
            </w:r>
          </w:p>
        </w:tc>
        <w:tc>
          <w:tcPr>
            <w:tcW w:type="dxa" w:w="1080"/>
          </w:tcPr>
          <w:p>
            <w:r/>
            <w:r>
              <w:rPr>
                <w:rFonts w:ascii="宋体" w:hAnsi="宋体" w:eastAsia="宋体"/>
                <w:b w:val="0"/>
                <w:sz w:val="21"/>
              </w:rPr>
              <w:t>0.353</w:t>
            </w:r>
          </w:p>
        </w:tc>
        <w:tc>
          <w:tcPr>
            <w:tcW w:type="dxa" w:w="1080"/>
          </w:tcPr>
          <w:p>
            <w:r/>
            <w:r>
              <w:rPr>
                <w:rFonts w:ascii="宋体" w:hAnsi="宋体" w:eastAsia="宋体"/>
                <w:b w:val="0"/>
                <w:sz w:val="21"/>
              </w:rPr>
              <w:t>**0.402**</w:t>
            </w:r>
          </w:p>
        </w:tc>
        <w:tc>
          <w:tcPr>
            <w:tcW w:type="dxa" w:w="1080"/>
          </w:tcPr>
          <w:p>
            <w:r/>
            <w:r>
              <w:rPr>
                <w:rFonts w:ascii="宋体" w:hAnsi="宋体" w:eastAsia="宋体"/>
                <w:b w:val="0"/>
                <w:sz w:val="21"/>
              </w:rPr>
              <w:t>0.344</w:t>
            </w:r>
          </w:p>
        </w:tc>
        <w:tc>
          <w:tcPr>
            <w:tcW w:type="dxa" w:w="1080"/>
          </w:tcPr>
          <w:p>
            <w:r/>
            <w:r>
              <w:rPr>
                <w:rFonts w:ascii="宋体" w:hAnsi="宋体" w:eastAsia="宋体"/>
                <w:b w:val="0"/>
                <w:sz w:val="21"/>
              </w:rPr>
              <w:t>−0.186</w:t>
            </w:r>
          </w:p>
        </w:tc>
        <w:tc>
          <w:tcPr>
            <w:tcW w:type="dxa" w:w="1080"/>
          </w:tcPr>
          <w:p>
            <w:r/>
            <w:r>
              <w:rPr>
                <w:rFonts w:ascii="宋体" w:hAnsi="宋体" w:eastAsia="宋体"/>
                <w:b w:val="0"/>
                <w:sz w:val="21"/>
              </w:rPr>
              <w:t>0.009</w:t>
            </w:r>
          </w:p>
        </w:tc>
      </w:tr>
      <w:tr>
        <w:tc>
          <w:tcPr>
            <w:tcW w:type="dxa" w:w="1080"/>
          </w:tcPr>
          <w:p>
            <w:r/>
            <w:r>
              <w:rPr>
                <w:rFonts w:ascii="宋体" w:hAnsi="宋体" w:eastAsia="宋体"/>
                <w:b w:val="0"/>
                <w:sz w:val="21"/>
              </w:rPr>
              <w:t>TONEml</w:t>
            </w:r>
          </w:p>
        </w:tc>
        <w:tc>
          <w:tcPr>
            <w:tcW w:type="dxa" w:w="1080"/>
          </w:tcPr>
          <w:p>
            <w:r/>
            <w:r>
              <w:rPr>
                <w:rFonts w:ascii="宋体" w:hAnsi="宋体" w:eastAsia="宋体"/>
                <w:b w:val="0"/>
                <w:sz w:val="21"/>
              </w:rPr>
              <w:t>0.548</w:t>
            </w:r>
          </w:p>
        </w:tc>
        <w:tc>
          <w:tcPr>
            <w:tcW w:type="dxa" w:w="1080"/>
          </w:tcPr>
          <w:p>
            <w:r/>
            <w:r>
              <w:rPr>
                <w:rFonts w:ascii="宋体" w:hAnsi="宋体" w:eastAsia="宋体"/>
                <w:b w:val="0"/>
                <w:sz w:val="21"/>
              </w:rPr>
              <w:t>1.000</w:t>
            </w:r>
          </w:p>
        </w:tc>
        <w:tc>
          <w:tcPr>
            <w:tcW w:type="dxa" w:w="1080"/>
          </w:tcPr>
          <w:p>
            <w:r/>
            <w:r>
              <w:rPr>
                <w:rFonts w:ascii="宋体" w:hAnsi="宋体" w:eastAsia="宋体"/>
                <w:b w:val="0"/>
                <w:sz w:val="21"/>
              </w:rPr>
              <w:t>0.057</w:t>
            </w:r>
          </w:p>
        </w:tc>
        <w:tc>
          <w:tcPr>
            <w:tcW w:type="dxa" w:w="1080"/>
          </w:tcPr>
          <w:p>
            <w:r/>
            <w:r>
              <w:rPr>
                <w:rFonts w:ascii="宋体" w:hAnsi="宋体" w:eastAsia="宋体"/>
                <w:b w:val="0"/>
                <w:sz w:val="21"/>
              </w:rPr>
              <w:t>0.322</w:t>
            </w:r>
          </w:p>
        </w:tc>
        <w:tc>
          <w:tcPr>
            <w:tcW w:type="dxa" w:w="1080"/>
          </w:tcPr>
          <w:p>
            <w:r/>
            <w:r>
              <w:rPr>
                <w:rFonts w:ascii="宋体" w:hAnsi="宋体" w:eastAsia="宋体"/>
                <w:b w:val="0"/>
                <w:sz w:val="21"/>
              </w:rPr>
              <w:t>0.244</w:t>
            </w:r>
          </w:p>
        </w:tc>
        <w:tc>
          <w:tcPr>
            <w:tcW w:type="dxa" w:w="1080"/>
          </w:tcPr>
          <w:p>
            <w:r/>
            <w:r>
              <w:rPr>
                <w:rFonts w:ascii="宋体" w:hAnsi="宋体" w:eastAsia="宋体"/>
                <w:b w:val="0"/>
                <w:sz w:val="21"/>
              </w:rPr>
              <w:t>−0.150</w:t>
            </w:r>
          </w:p>
        </w:tc>
        <w:tc>
          <w:tcPr>
            <w:tcW w:type="dxa" w:w="1080"/>
          </w:tcPr>
          <w:p>
            <w:r/>
            <w:r>
              <w:rPr>
                <w:rFonts w:ascii="宋体" w:hAnsi="宋体" w:eastAsia="宋体"/>
                <w:b w:val="0"/>
                <w:sz w:val="21"/>
              </w:rPr>
              <w:t>−0.023</w:t>
            </w:r>
          </w:p>
        </w:tc>
      </w:tr>
      <w:tr>
        <w:tc>
          <w:tcPr>
            <w:tcW w:type="dxa" w:w="1080"/>
          </w:tcPr>
          <w:p>
            <w:r/>
            <w:r>
              <w:rPr>
                <w:rFonts w:ascii="宋体" w:hAnsi="宋体" w:eastAsia="宋体"/>
                <w:b w:val="0"/>
                <w:sz w:val="21"/>
              </w:rPr>
              <w:t>TONE_sd</w:t>
            </w:r>
          </w:p>
        </w:tc>
        <w:tc>
          <w:tcPr>
            <w:tcW w:type="dxa" w:w="1080"/>
          </w:tcPr>
          <w:p>
            <w:r/>
            <w:r>
              <w:rPr>
                <w:rFonts w:ascii="宋体" w:hAnsi="宋体" w:eastAsia="宋体"/>
                <w:b w:val="0"/>
                <w:sz w:val="21"/>
              </w:rPr>
              <w:t>0.353</w:t>
            </w:r>
          </w:p>
        </w:tc>
        <w:tc>
          <w:tcPr>
            <w:tcW w:type="dxa" w:w="1080"/>
          </w:tcPr>
          <w:p>
            <w:r/>
            <w:r>
              <w:rPr>
                <w:rFonts w:ascii="宋体" w:hAnsi="宋体" w:eastAsia="宋体"/>
                <w:b w:val="0"/>
                <w:sz w:val="21"/>
              </w:rPr>
              <w:t>0.057</w:t>
            </w:r>
          </w:p>
        </w:tc>
        <w:tc>
          <w:tcPr>
            <w:tcW w:type="dxa" w:w="1080"/>
          </w:tcPr>
          <w:p>
            <w:r/>
            <w:r>
              <w:rPr>
                <w:rFonts w:ascii="宋体" w:hAnsi="宋体" w:eastAsia="宋体"/>
                <w:b w:val="0"/>
                <w:sz w:val="21"/>
              </w:rPr>
              <w:t>1.000</w:t>
            </w:r>
          </w:p>
        </w:tc>
        <w:tc>
          <w:tcPr>
            <w:tcW w:type="dxa" w:w="1080"/>
          </w:tcPr>
          <w:p>
            <w:r/>
            <w:r>
              <w:rPr>
                <w:rFonts w:ascii="宋体" w:hAnsi="宋体" w:eastAsia="宋体"/>
                <w:b w:val="0"/>
                <w:sz w:val="21"/>
              </w:rPr>
              <w:t>0.102</w:t>
            </w:r>
          </w:p>
        </w:tc>
        <w:tc>
          <w:tcPr>
            <w:tcW w:type="dxa" w:w="1080"/>
          </w:tcPr>
          <w:p>
            <w:r/>
            <w:r>
              <w:rPr>
                <w:rFonts w:ascii="宋体" w:hAnsi="宋体" w:eastAsia="宋体"/>
                <w:b w:val="0"/>
                <w:sz w:val="21"/>
              </w:rPr>
              <w:t>0.136</w:t>
            </w:r>
          </w:p>
        </w:tc>
        <w:tc>
          <w:tcPr>
            <w:tcW w:type="dxa" w:w="1080"/>
          </w:tcPr>
          <w:p>
            <w:r/>
            <w:r>
              <w:rPr>
                <w:rFonts w:ascii="宋体" w:hAnsi="宋体" w:eastAsia="宋体"/>
                <w:b w:val="0"/>
                <w:sz w:val="21"/>
              </w:rPr>
              <w:t>0.140</w:t>
            </w:r>
          </w:p>
        </w:tc>
        <w:tc>
          <w:tcPr>
            <w:tcW w:type="dxa" w:w="1080"/>
          </w:tcPr>
          <w:p>
            <w:r/>
            <w:r>
              <w:rPr>
                <w:rFonts w:ascii="宋体" w:hAnsi="宋体" w:eastAsia="宋体"/>
                <w:b w:val="0"/>
                <w:sz w:val="21"/>
              </w:rPr>
              <w:t>0.219</w:t>
            </w:r>
          </w:p>
        </w:tc>
      </w:tr>
      <w:tr>
        <w:tc>
          <w:tcPr>
            <w:tcW w:type="dxa" w:w="1080"/>
          </w:tcPr>
          <w:p>
            <w:r/>
            <w:r>
              <w:rPr>
                <w:rFonts w:ascii="宋体" w:hAnsi="宋体" w:eastAsia="宋体"/>
                <w:b w:val="0"/>
                <w:sz w:val="21"/>
              </w:rPr>
              <w:t>roa_next</w:t>
            </w:r>
          </w:p>
        </w:tc>
        <w:tc>
          <w:tcPr>
            <w:tcW w:type="dxa" w:w="1080"/>
          </w:tcPr>
          <w:p>
            <w:r/>
            <w:r>
              <w:rPr>
                <w:rFonts w:ascii="宋体" w:hAnsi="宋体" w:eastAsia="宋体"/>
                <w:b w:val="0"/>
                <w:sz w:val="21"/>
              </w:rPr>
              <w:t>0.402</w:t>
            </w:r>
          </w:p>
        </w:tc>
        <w:tc>
          <w:tcPr>
            <w:tcW w:type="dxa" w:w="1080"/>
          </w:tcPr>
          <w:p>
            <w:r/>
            <w:r>
              <w:rPr>
                <w:rFonts w:ascii="宋体" w:hAnsi="宋体" w:eastAsia="宋体"/>
                <w:b w:val="0"/>
                <w:sz w:val="21"/>
              </w:rPr>
              <w:t>0.322</w:t>
            </w:r>
          </w:p>
        </w:tc>
        <w:tc>
          <w:tcPr>
            <w:tcW w:type="dxa" w:w="1080"/>
          </w:tcPr>
          <w:p>
            <w:r/>
            <w:r>
              <w:rPr>
                <w:rFonts w:ascii="宋体" w:hAnsi="宋体" w:eastAsia="宋体"/>
                <w:b w:val="0"/>
                <w:sz w:val="21"/>
              </w:rPr>
              <w:t>0.102</w:t>
            </w:r>
          </w:p>
        </w:tc>
        <w:tc>
          <w:tcPr>
            <w:tcW w:type="dxa" w:w="1080"/>
          </w:tcPr>
          <w:p>
            <w:r/>
            <w:r>
              <w:rPr>
                <w:rFonts w:ascii="宋体" w:hAnsi="宋体" w:eastAsia="宋体"/>
                <w:b w:val="0"/>
                <w:sz w:val="21"/>
              </w:rPr>
              <w:t>1.000</w:t>
            </w:r>
          </w:p>
        </w:tc>
        <w:tc>
          <w:tcPr>
            <w:tcW w:type="dxa" w:w="1080"/>
          </w:tcPr>
          <w:p>
            <w:r/>
            <w:r>
              <w:rPr>
                <w:rFonts w:ascii="宋体" w:hAnsi="宋体" w:eastAsia="宋体"/>
                <w:b w:val="0"/>
                <w:sz w:val="21"/>
              </w:rPr>
              <w:t>0.851</w:t>
            </w:r>
          </w:p>
        </w:tc>
        <w:tc>
          <w:tcPr>
            <w:tcW w:type="dxa" w:w="1080"/>
          </w:tcPr>
          <w:p>
            <w:r/>
            <w:r>
              <w:rPr>
                <w:rFonts w:ascii="宋体" w:hAnsi="宋体" w:eastAsia="宋体"/>
                <w:b w:val="0"/>
                <w:sz w:val="21"/>
              </w:rPr>
              <w:t>−0.621</w:t>
            </w:r>
          </w:p>
        </w:tc>
        <w:tc>
          <w:tcPr>
            <w:tcW w:type="dxa" w:w="1080"/>
          </w:tcPr>
          <w:p>
            <w:r/>
            <w:r>
              <w:rPr>
                <w:rFonts w:ascii="宋体" w:hAnsi="宋体" w:eastAsia="宋体"/>
                <w:b w:val="0"/>
                <w:sz w:val="21"/>
              </w:rPr>
              <w:t>0.116</w:t>
            </w:r>
          </w:p>
        </w:tc>
      </w:tr>
      <w:tr>
        <w:tc>
          <w:tcPr>
            <w:tcW w:type="dxa" w:w="1080"/>
          </w:tcPr>
          <w:p>
            <w:r/>
            <w:r>
              <w:rPr>
                <w:rFonts w:ascii="宋体" w:hAnsi="宋体" w:eastAsia="宋体"/>
                <w:b w:val="0"/>
                <w:sz w:val="21"/>
              </w:rPr>
              <w:t>roa</w:t>
            </w:r>
          </w:p>
        </w:tc>
        <w:tc>
          <w:tcPr>
            <w:tcW w:type="dxa" w:w="1080"/>
          </w:tcPr>
          <w:p>
            <w:r/>
            <w:r>
              <w:rPr>
                <w:rFonts w:ascii="宋体" w:hAnsi="宋体" w:eastAsia="宋体"/>
                <w:b w:val="0"/>
                <w:sz w:val="21"/>
              </w:rPr>
              <w:t>0.344</w:t>
            </w:r>
          </w:p>
        </w:tc>
        <w:tc>
          <w:tcPr>
            <w:tcW w:type="dxa" w:w="1080"/>
          </w:tcPr>
          <w:p>
            <w:r/>
            <w:r>
              <w:rPr>
                <w:rFonts w:ascii="宋体" w:hAnsi="宋体" w:eastAsia="宋体"/>
                <w:b w:val="0"/>
                <w:sz w:val="21"/>
              </w:rPr>
              <w:t>0.244</w:t>
            </w:r>
          </w:p>
        </w:tc>
        <w:tc>
          <w:tcPr>
            <w:tcW w:type="dxa" w:w="1080"/>
          </w:tcPr>
          <w:p>
            <w:r/>
            <w:r>
              <w:rPr>
                <w:rFonts w:ascii="宋体" w:hAnsi="宋体" w:eastAsia="宋体"/>
                <w:b w:val="0"/>
                <w:sz w:val="21"/>
              </w:rPr>
              <w:t>0.136</w:t>
            </w:r>
          </w:p>
        </w:tc>
        <w:tc>
          <w:tcPr>
            <w:tcW w:type="dxa" w:w="1080"/>
          </w:tcPr>
          <w:p>
            <w:r/>
            <w:r>
              <w:rPr>
                <w:rFonts w:ascii="宋体" w:hAnsi="宋体" w:eastAsia="宋体"/>
                <w:b w:val="0"/>
                <w:sz w:val="21"/>
              </w:rPr>
              <w:t>0.851</w:t>
            </w:r>
          </w:p>
        </w:tc>
        <w:tc>
          <w:tcPr>
            <w:tcW w:type="dxa" w:w="1080"/>
          </w:tcPr>
          <w:p>
            <w:r/>
            <w:r>
              <w:rPr>
                <w:rFonts w:ascii="宋体" w:hAnsi="宋体" w:eastAsia="宋体"/>
                <w:b w:val="0"/>
                <w:sz w:val="21"/>
              </w:rPr>
              <w:t>1.000</w:t>
            </w:r>
          </w:p>
        </w:tc>
        <w:tc>
          <w:tcPr>
            <w:tcW w:type="dxa" w:w="1080"/>
          </w:tcPr>
          <w:p>
            <w:r/>
            <w:r>
              <w:rPr>
                <w:rFonts w:ascii="宋体" w:hAnsi="宋体" w:eastAsia="宋体"/>
                <w:b w:val="0"/>
                <w:sz w:val="21"/>
              </w:rPr>
              <w:t>−0.650</w:t>
            </w:r>
          </w:p>
        </w:tc>
        <w:tc>
          <w:tcPr>
            <w:tcW w:type="dxa" w:w="1080"/>
          </w:tcPr>
          <w:p>
            <w:r/>
            <w:r>
              <w:rPr>
                <w:rFonts w:ascii="宋体" w:hAnsi="宋体" w:eastAsia="宋体"/>
                <w:b w:val="0"/>
                <w:sz w:val="21"/>
              </w:rPr>
              <w:t>0.309</w:t>
            </w:r>
          </w:p>
        </w:tc>
      </w:tr>
      <w:tr>
        <w:tc>
          <w:tcPr>
            <w:tcW w:type="dxa" w:w="1080"/>
          </w:tcPr>
          <w:p>
            <w:r/>
            <w:r>
              <w:rPr>
                <w:rFonts w:ascii="宋体" w:hAnsi="宋体" w:eastAsia="宋体"/>
                <w:b w:val="0"/>
                <w:sz w:val="21"/>
              </w:rPr>
              <w:t>lev</w:t>
            </w:r>
          </w:p>
        </w:tc>
        <w:tc>
          <w:tcPr>
            <w:tcW w:type="dxa" w:w="1080"/>
          </w:tcPr>
          <w:p>
            <w:r/>
            <w:r>
              <w:rPr>
                <w:rFonts w:ascii="宋体" w:hAnsi="宋体" w:eastAsia="宋体"/>
                <w:b w:val="0"/>
                <w:sz w:val="21"/>
              </w:rPr>
              <w:t>−0.186</w:t>
            </w:r>
          </w:p>
        </w:tc>
        <w:tc>
          <w:tcPr>
            <w:tcW w:type="dxa" w:w="1080"/>
          </w:tcPr>
          <w:p>
            <w:r/>
            <w:r>
              <w:rPr>
                <w:rFonts w:ascii="宋体" w:hAnsi="宋体" w:eastAsia="宋体"/>
                <w:b w:val="0"/>
                <w:sz w:val="21"/>
              </w:rPr>
              <w:t>−0.150</w:t>
            </w:r>
          </w:p>
        </w:tc>
        <w:tc>
          <w:tcPr>
            <w:tcW w:type="dxa" w:w="1080"/>
          </w:tcPr>
          <w:p>
            <w:r/>
            <w:r>
              <w:rPr>
                <w:rFonts w:ascii="宋体" w:hAnsi="宋体" w:eastAsia="宋体"/>
                <w:b w:val="0"/>
                <w:sz w:val="21"/>
              </w:rPr>
              <w:t>0.140</w:t>
            </w:r>
          </w:p>
        </w:tc>
        <w:tc>
          <w:tcPr>
            <w:tcW w:type="dxa" w:w="1080"/>
          </w:tcPr>
          <w:p>
            <w:r/>
            <w:r>
              <w:rPr>
                <w:rFonts w:ascii="宋体" w:hAnsi="宋体" w:eastAsia="宋体"/>
                <w:b w:val="0"/>
                <w:sz w:val="21"/>
              </w:rPr>
              <w:t>−0.621</w:t>
            </w:r>
          </w:p>
        </w:tc>
        <w:tc>
          <w:tcPr>
            <w:tcW w:type="dxa" w:w="1080"/>
          </w:tcPr>
          <w:p>
            <w:r/>
            <w:r>
              <w:rPr>
                <w:rFonts w:ascii="宋体" w:hAnsi="宋体" w:eastAsia="宋体"/>
                <w:b w:val="0"/>
                <w:sz w:val="21"/>
              </w:rPr>
              <w:t>−0.650</w:t>
            </w:r>
          </w:p>
        </w:tc>
        <w:tc>
          <w:tcPr>
            <w:tcW w:type="dxa" w:w="1080"/>
          </w:tcPr>
          <w:p>
            <w:r/>
            <w:r>
              <w:rPr>
                <w:rFonts w:ascii="宋体" w:hAnsi="宋体" w:eastAsia="宋体"/>
                <w:b w:val="0"/>
                <w:sz w:val="21"/>
              </w:rPr>
              <w:t>1.000</w:t>
            </w:r>
          </w:p>
        </w:tc>
        <w:tc>
          <w:tcPr>
            <w:tcW w:type="dxa" w:w="1080"/>
          </w:tcPr>
          <w:p>
            <w:r/>
            <w:r>
              <w:rPr>
                <w:rFonts w:ascii="宋体" w:hAnsi="宋体" w:eastAsia="宋体"/>
                <w:b w:val="0"/>
                <w:sz w:val="21"/>
              </w:rPr>
              <w:t>0.099</w:t>
            </w:r>
          </w:p>
        </w:tc>
      </w:tr>
      <w:tr>
        <w:tc>
          <w:tcPr>
            <w:tcW w:type="dxa" w:w="1080"/>
          </w:tcPr>
          <w:p>
            <w:r/>
            <w:r>
              <w:rPr>
                <w:rFonts w:ascii="宋体" w:hAnsi="宋体" w:eastAsia="宋体"/>
                <w:b w:val="0"/>
                <w:sz w:val="21"/>
              </w:rPr>
              <w:t>revGrowth</w:t>
            </w:r>
          </w:p>
        </w:tc>
        <w:tc>
          <w:tcPr>
            <w:tcW w:type="dxa" w:w="1080"/>
          </w:tcPr>
          <w:p>
            <w:r/>
            <w:r>
              <w:rPr>
                <w:rFonts w:ascii="宋体" w:hAnsi="宋体" w:eastAsia="宋体"/>
                <w:b w:val="0"/>
                <w:sz w:val="21"/>
              </w:rPr>
              <w:t>0.009</w:t>
            </w:r>
          </w:p>
        </w:tc>
        <w:tc>
          <w:tcPr>
            <w:tcW w:type="dxa" w:w="1080"/>
          </w:tcPr>
          <w:p>
            <w:r/>
            <w:r>
              <w:rPr>
                <w:rFonts w:ascii="宋体" w:hAnsi="宋体" w:eastAsia="宋体"/>
                <w:b w:val="0"/>
                <w:sz w:val="21"/>
              </w:rPr>
              <w:t>−0.023</w:t>
            </w:r>
          </w:p>
        </w:tc>
        <w:tc>
          <w:tcPr>
            <w:tcW w:type="dxa" w:w="1080"/>
          </w:tcPr>
          <w:p>
            <w:r/>
            <w:r>
              <w:rPr>
                <w:rFonts w:ascii="宋体" w:hAnsi="宋体" w:eastAsia="宋体"/>
                <w:b w:val="0"/>
                <w:sz w:val="21"/>
              </w:rPr>
              <w:t>0.219</w:t>
            </w:r>
          </w:p>
        </w:tc>
        <w:tc>
          <w:tcPr>
            <w:tcW w:type="dxa" w:w="1080"/>
          </w:tcPr>
          <w:p>
            <w:r/>
            <w:r>
              <w:rPr>
                <w:rFonts w:ascii="宋体" w:hAnsi="宋体" w:eastAsia="宋体"/>
                <w:b w:val="0"/>
                <w:sz w:val="21"/>
              </w:rPr>
              <w:t>0.116</w:t>
            </w:r>
          </w:p>
        </w:tc>
        <w:tc>
          <w:tcPr>
            <w:tcW w:type="dxa" w:w="1080"/>
          </w:tcPr>
          <w:p>
            <w:r/>
            <w:r>
              <w:rPr>
                <w:rFonts w:ascii="宋体" w:hAnsi="宋体" w:eastAsia="宋体"/>
                <w:b w:val="0"/>
                <w:sz w:val="21"/>
              </w:rPr>
              <w:t>0.309</w:t>
            </w:r>
          </w:p>
        </w:tc>
        <w:tc>
          <w:tcPr>
            <w:tcW w:type="dxa" w:w="1080"/>
          </w:tcPr>
          <w:p>
            <w:r/>
            <w:r>
              <w:rPr>
                <w:rFonts w:ascii="宋体" w:hAnsi="宋体" w:eastAsia="宋体"/>
                <w:b w:val="0"/>
                <w:sz w:val="21"/>
              </w:rPr>
              <w:t>0.099</w:t>
            </w:r>
          </w:p>
        </w:tc>
        <w:tc>
          <w:tcPr>
            <w:tcW w:type="dxa" w:w="1080"/>
          </w:tcPr>
          <w:p>
            <w:r/>
            <w:r>
              <w:rPr>
                <w:rFonts w:ascii="宋体" w:hAnsi="宋体" w:eastAsia="宋体"/>
                <w:b w:val="0"/>
                <w:sz w:val="21"/>
              </w:rPr>
              <w:t>1.000</w:t>
            </w:r>
          </w:p>
        </w:tc>
      </w:tr>
    </w:tbl>
    <w:p>
      <w:pPr>
        <w:spacing w:after="120" w:line="360" w:lineRule="auto"/>
        <w:ind w:firstLine="480"/>
      </w:pPr>
      <w:r>
        <w:rPr>
          <w:rFonts w:ascii="宋体" w:hAnsi="宋体" w:eastAsia="宋体"/>
          <w:b w:val="0"/>
          <w:sz w:val="24"/>
        </w:rPr>
        <w:t>四组关系值得注意。第一，</w:t>
      </w:r>
      <w:r>
        <w:rPr>
          <w:rFonts w:ascii="宋体" w:hAnsi="宋体" w:eastAsia="宋体"/>
          <w:b/>
          <w:sz w:val="24"/>
        </w:rPr>
        <w:t>语调和未来业绩的正相关（r=0.402）明显强于其与当期业绩的相关（r=0.344）</w:t>
      </w:r>
      <w:r>
        <w:rPr>
          <w:rFonts w:ascii="宋体" w:hAnsi="宋体" w:eastAsia="宋体"/>
          <w:b w:val="0"/>
          <w:sz w:val="24"/>
        </w:rPr>
        <w:t>，前者比后者高出约 17%。这一模式与"语调是当期业绩的复读机"的假设不符——若语调只是当期业绩的语言映射，其对当期的相关应当强于对未来。语调与未来的相关更强，直观上支持语调携带前瞻性信息。第二，TONE 与 TONEml 相关 0.548，与 5.1 节的聚合效度结论一致（此处数值略高是因为面板已做缩尾，压缩了极端值的影响）。第三，</w:t>
      </w:r>
      <w:r>
        <w:rPr>
          <w:rFonts w:ascii="宋体" w:hAnsi="宋体" w:eastAsia="宋体"/>
          <w:b/>
          <w:sz w:val="24"/>
        </w:rPr>
        <w:t>当期 roa 与 roa_next 的相关高达 0.851</w:t>
      </w:r>
      <w:r>
        <w:rPr>
          <w:rFonts w:ascii="宋体" w:hAnsi="宋体" w:eastAsia="宋体"/>
          <w:b w:val="0"/>
          <w:sz w:val="24"/>
        </w:rPr>
        <w:t>，这正是 H2 检验必须控制当期 ROA 的原因：业绩具有极强的持续性，任何声称"预测未来业绩"的变量都必须先证明它在控制这一持续项之后仍有余量。第四，lev 与 roa_next（−0.621）、roa（−0.650）均显著负相关，说明高杠杆公司业绩更差，同时 lev 与 TONE 亦呈负相关（−0.186），即高杠杆公司的语气更谨慎——这为 H3 的高杠杆检验提供了先验基础：杠杆既影响业绩水平，也影响语调水平，因此是潜在的混淆变量，必须在多元回归中控制。</w:t>
      </w:r>
    </w:p>
    <w:p>
      <w:pPr>
        <w:spacing w:after="120" w:line="360" w:lineRule="auto"/>
        <w:ind w:firstLine="480"/>
      </w:pPr>
      <w:r>
        <w:rPr>
          <w:rFonts w:ascii="宋体" w:hAnsi="宋体" w:eastAsia="宋体"/>
          <w:b w:val="0"/>
          <w:sz w:val="24"/>
        </w:rPr>
        <w:t>需要提醒的是，上述均为双变量相关，不能作为因果或净效应的依据。例如 TONE 与 roa_next 的 0.402 可能部分来自当期业绩的共同驱动（roa 同时与两者相关），需要偏效应估计才能分离。这正是下一节多元回归的任务。</w:t>
      </w:r>
    </w:p>
    <w:p>
      <w:pPr>
        <w:spacing w:before="200" w:after="160"/>
      </w:pPr>
      <w:r>
        <w:rPr>
          <w:rFonts w:ascii="黑体" w:hAnsi="黑体" w:eastAsia="黑体"/>
          <w:b/>
          <w:sz w:val="25"/>
        </w:rPr>
        <w:t>5.4 基准回归结果（H1 与 H2）</w:t>
      </w:r>
    </w:p>
    <w:p>
      <w:pPr>
        <w:spacing w:after="120" w:line="360" w:lineRule="auto"/>
        <w:ind w:firstLine="480"/>
      </w:pPr>
      <w:r>
        <w:rPr>
          <w:rFonts w:ascii="宋体" w:hAnsi="宋体" w:eastAsia="宋体"/>
          <w:b/>
          <w:sz w:val="24"/>
        </w:rPr>
        <w:t>表 6</w:t>
      </w:r>
      <w:r>
        <w:rPr>
          <w:rFonts w:ascii="宋体" w:hAnsi="宋体" w:eastAsia="宋体"/>
          <w:b w:val="0"/>
          <w:sz w:val="24"/>
        </w:rPr>
        <w:t xml:space="preserve"> 报告四个递进模型的估计结果。</w:t>
      </w:r>
    </w:p>
    <w:p>
      <w:pPr>
        <w:spacing w:after="120" w:line="360" w:lineRule="auto"/>
        <w:ind w:firstLine="480"/>
      </w:pPr>
      <w:r>
        <w:rPr>
          <w:rFonts w:ascii="宋体" w:hAnsi="宋体" w:eastAsia="宋体"/>
          <w:b/>
          <w:sz w:val="24"/>
        </w:rPr>
        <w:t>表 6  管理层语调与企业未来业绩：基准回归</w:t>
      </w:r>
      <w:r>
        <w:rPr>
          <w:rFonts w:ascii="宋体" w:hAnsi="宋体" w:eastAsia="宋体"/>
          <w:b w:val="0"/>
          <w:sz w:val="24"/>
        </w:rPr>
        <w:t xml:space="preserve">（被解释变量：ROA_{t+1}；对应文件 </w:t>
      </w:r>
      <w:r>
        <w:rPr>
          <w:rFonts w:ascii="Consolas" w:hAnsi="Consolas" w:eastAsia="Consolas"/>
          <w:b w:val="0"/>
          <w:sz w:val="22"/>
        </w:rPr>
        <w:t>output/tables/tab4_main_reg.csv</w:t>
      </w:r>
      <w:r>
        <w:rPr>
          <w:rFonts w:ascii="宋体" w:hAnsi="宋体" w:eastAsia="宋体"/>
          <w:b w:val="0"/>
          <w:sz w:val="24"/>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1"/>
              </w:rPr>
              <w:t>变量</w:t>
            </w:r>
          </w:p>
        </w:tc>
        <w:tc>
          <w:tcPr>
            <w:tcW w:type="dxa" w:w="1728"/>
          </w:tcPr>
          <w:p>
            <w:pPr>
              <w:jc w:val="center"/>
            </w:pPr>
            <w:r/>
            <w:r>
              <w:rPr>
                <w:rFonts w:ascii="宋体" w:hAnsi="宋体" w:eastAsia="宋体"/>
                <w:b/>
                <w:sz w:val="21"/>
              </w:rPr>
              <w:t>(1) 年度FE</w:t>
            </w:r>
          </w:p>
        </w:tc>
        <w:tc>
          <w:tcPr>
            <w:tcW w:type="dxa" w:w="1728"/>
          </w:tcPr>
          <w:p>
            <w:pPr>
              <w:jc w:val="center"/>
            </w:pPr>
            <w:r/>
            <w:r>
              <w:rPr>
                <w:rFonts w:ascii="宋体" w:hAnsi="宋体" w:eastAsia="宋体"/>
                <w:b/>
                <w:sz w:val="21"/>
              </w:rPr>
              <w:t>(2) (1)+控制变量</w:t>
            </w:r>
          </w:p>
        </w:tc>
        <w:tc>
          <w:tcPr>
            <w:tcW w:type="dxa" w:w="1728"/>
          </w:tcPr>
          <w:p>
            <w:pPr>
              <w:jc w:val="center"/>
            </w:pPr>
            <w:r/>
            <w:r>
              <w:rPr>
                <w:rFonts w:ascii="宋体" w:hAnsi="宋体" w:eastAsia="宋体"/>
                <w:b/>
                <w:sz w:val="21"/>
              </w:rPr>
              <w:t>(3) (2)+当期ROA（H2）</w:t>
            </w:r>
          </w:p>
        </w:tc>
        <w:tc>
          <w:tcPr>
            <w:tcW w:type="dxa" w:w="1728"/>
          </w:tcPr>
          <w:p>
            <w:pPr>
              <w:jc w:val="center"/>
            </w:pPr>
            <w:r/>
            <w:r>
              <w:rPr>
                <w:rFonts w:ascii="宋体" w:hAnsi="宋体" w:eastAsia="宋体"/>
                <w:b/>
                <w:sz w:val="21"/>
              </w:rPr>
              <w:t>(4) 公司+年度FE+控制变量</w:t>
            </w:r>
          </w:p>
        </w:tc>
      </w:tr>
      <w:tr>
        <w:tc>
          <w:tcPr>
            <w:tcW w:type="dxa" w:w="1728"/>
          </w:tcPr>
          <w:p>
            <w:r/>
            <w:r>
              <w:rPr>
                <w:rFonts w:ascii="宋体" w:hAnsi="宋体" w:eastAsia="宋体"/>
                <w:b w:val="0"/>
                <w:sz w:val="21"/>
              </w:rPr>
              <w:t>TONE（语调）</w:t>
            </w:r>
          </w:p>
        </w:tc>
        <w:tc>
          <w:tcPr>
            <w:tcW w:type="dxa" w:w="1728"/>
          </w:tcPr>
          <w:p>
            <w:r/>
            <w:r>
              <w:rPr>
                <w:rFonts w:ascii="宋体" w:hAnsi="宋体" w:eastAsia="宋体"/>
                <w:b w:val="0"/>
                <w:sz w:val="21"/>
              </w:rPr>
              <w:t>1.574**</w:t>
            </w:r>
          </w:p>
        </w:tc>
        <w:tc>
          <w:tcPr>
            <w:tcW w:type="dxa" w:w="1728"/>
          </w:tcPr>
          <w:p>
            <w:r/>
            <w:r>
              <w:rPr>
                <w:rFonts w:ascii="宋体" w:hAnsi="宋体" w:eastAsia="宋体"/>
                <w:b w:val="0"/>
                <w:sz w:val="21"/>
              </w:rPr>
              <w:t>1.124**</w:t>
            </w:r>
          </w:p>
        </w:tc>
        <w:tc>
          <w:tcPr>
            <w:tcW w:type="dxa" w:w="1728"/>
          </w:tcPr>
          <w:p>
            <w:r/>
            <w:r>
              <w:rPr>
                <w:rFonts w:ascii="宋体" w:hAnsi="宋体" w:eastAsia="宋体"/>
                <w:b w:val="0"/>
                <w:sz w:val="21"/>
              </w:rPr>
              <w:t>0.451*</w:t>
            </w:r>
          </w:p>
        </w:tc>
        <w:tc>
          <w:tcPr>
            <w:tcW w:type="dxa" w:w="1728"/>
          </w:tcPr>
          <w:p>
            <w:r/>
            <w:r>
              <w:rPr>
                <w:rFonts w:ascii="宋体" w:hAnsi="宋体" w:eastAsia="宋体"/>
                <w:b w:val="0"/>
                <w:sz w:val="21"/>
              </w:rPr>
              <w:t>0.091</w:t>
            </w:r>
          </w:p>
        </w:tc>
      </w:tr>
      <w:tr>
        <w:tc>
          <w:tcPr>
            <w:tcW w:type="dxa" w:w="1728"/>
          </w:tcPr>
          <w:p>
            <w:r/>
            <w:r>
              <w:rPr>
                <w:rFonts w:ascii="宋体" w:hAnsi="宋体" w:eastAsia="宋体"/>
                <w:b w:val="0"/>
                <w:sz w:val="21"/>
              </w:rPr>
              <w:t>聚类稳健 SE</w:t>
            </w:r>
          </w:p>
        </w:tc>
        <w:tc>
          <w:tcPr>
            <w:tcW w:type="dxa" w:w="1728"/>
          </w:tcPr>
          <w:p>
            <w:r/>
            <w:r>
              <w:rPr>
                <w:rFonts w:ascii="宋体" w:hAnsi="宋体" w:eastAsia="宋体"/>
                <w:b w:val="0"/>
                <w:sz w:val="21"/>
              </w:rPr>
              <w:t>0.702</w:t>
            </w:r>
          </w:p>
        </w:tc>
        <w:tc>
          <w:tcPr>
            <w:tcW w:type="dxa" w:w="1728"/>
          </w:tcPr>
          <w:p>
            <w:r/>
            <w:r>
              <w:rPr>
                <w:rFonts w:ascii="宋体" w:hAnsi="宋体" w:eastAsia="宋体"/>
                <w:b w:val="0"/>
                <w:sz w:val="21"/>
              </w:rPr>
              <w:t>0.466</w:t>
            </w:r>
          </w:p>
        </w:tc>
        <w:tc>
          <w:tcPr>
            <w:tcW w:type="dxa" w:w="1728"/>
          </w:tcPr>
          <w:p>
            <w:r/>
            <w:r>
              <w:rPr>
                <w:rFonts w:ascii="宋体" w:hAnsi="宋体" w:eastAsia="宋体"/>
                <w:b w:val="0"/>
                <w:sz w:val="21"/>
              </w:rPr>
              <w:t>0.248</w:t>
            </w:r>
          </w:p>
        </w:tc>
        <w:tc>
          <w:tcPr>
            <w:tcW w:type="dxa" w:w="1728"/>
          </w:tcPr>
          <w:p>
            <w:r/>
            <w:r>
              <w:rPr>
                <w:rFonts w:ascii="宋体" w:hAnsi="宋体" w:eastAsia="宋体"/>
                <w:b w:val="0"/>
                <w:sz w:val="21"/>
              </w:rPr>
              <w:t>0.268</w:t>
            </w:r>
          </w:p>
        </w:tc>
      </w:tr>
      <w:tr>
        <w:tc>
          <w:tcPr>
            <w:tcW w:type="dxa" w:w="1728"/>
          </w:tcPr>
          <w:p>
            <w:r/>
            <w:r>
              <w:rPr>
                <w:rFonts w:ascii="宋体" w:hAnsi="宋体" w:eastAsia="宋体"/>
                <w:b w:val="0"/>
                <w:sz w:val="21"/>
              </w:rPr>
              <w:t>t 值</w:t>
            </w:r>
          </w:p>
        </w:tc>
        <w:tc>
          <w:tcPr>
            <w:tcW w:type="dxa" w:w="1728"/>
          </w:tcPr>
          <w:p>
            <w:r/>
            <w:r>
              <w:rPr>
                <w:rFonts w:ascii="宋体" w:hAnsi="宋体" w:eastAsia="宋体"/>
                <w:b w:val="0"/>
                <w:sz w:val="21"/>
              </w:rPr>
              <w:t>2.24</w:t>
            </w:r>
          </w:p>
        </w:tc>
        <w:tc>
          <w:tcPr>
            <w:tcW w:type="dxa" w:w="1728"/>
          </w:tcPr>
          <w:p>
            <w:r/>
            <w:r>
              <w:rPr>
                <w:rFonts w:ascii="宋体" w:hAnsi="宋体" w:eastAsia="宋体"/>
                <w:b w:val="0"/>
                <w:sz w:val="21"/>
              </w:rPr>
              <w:t>2.41</w:t>
            </w:r>
          </w:p>
        </w:tc>
        <w:tc>
          <w:tcPr>
            <w:tcW w:type="dxa" w:w="1728"/>
          </w:tcPr>
          <w:p>
            <w:r/>
            <w:r>
              <w:rPr>
                <w:rFonts w:ascii="宋体" w:hAnsi="宋体" w:eastAsia="宋体"/>
                <w:b w:val="0"/>
                <w:sz w:val="21"/>
              </w:rPr>
              <w:t>1.82</w:t>
            </w:r>
          </w:p>
        </w:tc>
        <w:tc>
          <w:tcPr>
            <w:tcW w:type="dxa" w:w="1728"/>
          </w:tcPr>
          <w:p>
            <w:r/>
            <w:r>
              <w:rPr>
                <w:rFonts w:ascii="宋体" w:hAnsi="宋体" w:eastAsia="宋体"/>
                <w:b w:val="0"/>
                <w:sz w:val="21"/>
              </w:rPr>
              <w:t>0.34</w:t>
            </w:r>
          </w:p>
        </w:tc>
      </w:tr>
      <w:tr>
        <w:tc>
          <w:tcPr>
            <w:tcW w:type="dxa" w:w="1728"/>
          </w:tcPr>
          <w:p>
            <w:r/>
            <w:r>
              <w:rPr>
                <w:rFonts w:ascii="宋体" w:hAnsi="宋体" w:eastAsia="宋体"/>
                <w:b w:val="0"/>
                <w:sz w:val="21"/>
              </w:rPr>
              <w:t>p 值</w:t>
            </w:r>
          </w:p>
        </w:tc>
        <w:tc>
          <w:tcPr>
            <w:tcW w:type="dxa" w:w="1728"/>
          </w:tcPr>
          <w:p>
            <w:r/>
            <w:r>
              <w:rPr>
                <w:rFonts w:ascii="宋体" w:hAnsi="宋体" w:eastAsia="宋体"/>
                <w:b w:val="0"/>
                <w:sz w:val="21"/>
              </w:rPr>
              <w:t>0.0249</w:t>
            </w:r>
          </w:p>
        </w:tc>
        <w:tc>
          <w:tcPr>
            <w:tcW w:type="dxa" w:w="1728"/>
          </w:tcPr>
          <w:p>
            <w:r/>
            <w:r>
              <w:rPr>
                <w:rFonts w:ascii="宋体" w:hAnsi="宋体" w:eastAsia="宋体"/>
                <w:b w:val="0"/>
                <w:sz w:val="21"/>
              </w:rPr>
              <w:t>0.0158</w:t>
            </w:r>
          </w:p>
        </w:tc>
        <w:tc>
          <w:tcPr>
            <w:tcW w:type="dxa" w:w="1728"/>
          </w:tcPr>
          <w:p>
            <w:r/>
            <w:r>
              <w:rPr>
                <w:rFonts w:ascii="宋体" w:hAnsi="宋体" w:eastAsia="宋体"/>
                <w:b w:val="0"/>
                <w:sz w:val="21"/>
              </w:rPr>
              <w:t>0.0692</w:t>
            </w:r>
          </w:p>
        </w:tc>
        <w:tc>
          <w:tcPr>
            <w:tcW w:type="dxa" w:w="1728"/>
          </w:tcPr>
          <w:p>
            <w:r/>
            <w:r>
              <w:rPr>
                <w:rFonts w:ascii="宋体" w:hAnsi="宋体" w:eastAsia="宋体"/>
                <w:b w:val="0"/>
                <w:sz w:val="21"/>
              </w:rPr>
              <w:t>0.7343</w:t>
            </w:r>
          </w:p>
        </w:tc>
      </w:tr>
      <w:tr>
        <w:tc>
          <w:tcPr>
            <w:tcW w:type="dxa" w:w="1728"/>
          </w:tcPr>
          <w:p>
            <w:r/>
            <w:r>
              <w:rPr>
                <w:rFonts w:ascii="宋体" w:hAnsi="宋体" w:eastAsia="宋体"/>
                <w:b w:val="0"/>
                <w:sz w:val="21"/>
              </w:rPr>
              <w:t>控制变量</w:t>
            </w:r>
          </w:p>
        </w:tc>
        <w:tc>
          <w:tcPr>
            <w:tcW w:type="dxa" w:w="1728"/>
          </w:tcPr>
          <w:p>
            <w:r/>
            <w:r>
              <w:rPr>
                <w:rFonts w:ascii="宋体" w:hAnsi="宋体" w:eastAsia="宋体"/>
                <w:b w:val="0"/>
                <w:sz w:val="21"/>
              </w:rPr>
              <w:t>否</w:t>
            </w:r>
          </w:p>
        </w:tc>
        <w:tc>
          <w:tcPr>
            <w:tcW w:type="dxa" w:w="1728"/>
          </w:tcPr>
          <w:p>
            <w:r/>
            <w:r>
              <w:rPr>
                <w:rFonts w:ascii="宋体" w:hAnsi="宋体" w:eastAsia="宋体"/>
                <w:b w:val="0"/>
                <w:sz w:val="21"/>
              </w:rPr>
              <w:t>是</w:t>
            </w:r>
          </w:p>
        </w:tc>
        <w:tc>
          <w:tcPr>
            <w:tcW w:type="dxa" w:w="1728"/>
          </w:tcPr>
          <w:p>
            <w:r/>
            <w:r>
              <w:rPr>
                <w:rFonts w:ascii="宋体" w:hAnsi="宋体" w:eastAsia="宋体"/>
                <w:b w:val="0"/>
                <w:sz w:val="21"/>
              </w:rPr>
              <w:t>是</w:t>
            </w:r>
          </w:p>
        </w:tc>
        <w:tc>
          <w:tcPr>
            <w:tcW w:type="dxa" w:w="1728"/>
          </w:tcPr>
          <w:p>
            <w:r/>
            <w:r>
              <w:rPr>
                <w:rFonts w:ascii="宋体" w:hAnsi="宋体" w:eastAsia="宋体"/>
                <w:b w:val="0"/>
                <w:sz w:val="21"/>
              </w:rPr>
              <w:t>是</w:t>
            </w:r>
          </w:p>
        </w:tc>
      </w:tr>
      <w:tr>
        <w:tc>
          <w:tcPr>
            <w:tcW w:type="dxa" w:w="1728"/>
          </w:tcPr>
          <w:p>
            <w:r/>
            <w:r>
              <w:rPr>
                <w:rFonts w:ascii="宋体" w:hAnsi="宋体" w:eastAsia="宋体"/>
                <w:b w:val="0"/>
                <w:sz w:val="21"/>
              </w:rPr>
              <w:t>当期 ROA</w:t>
            </w:r>
          </w:p>
        </w:tc>
        <w:tc>
          <w:tcPr>
            <w:tcW w:type="dxa" w:w="1728"/>
          </w:tcPr>
          <w:p>
            <w:r/>
            <w:r>
              <w:rPr>
                <w:rFonts w:ascii="宋体" w:hAnsi="宋体" w:eastAsia="宋体"/>
                <w:b w:val="0"/>
                <w:sz w:val="21"/>
              </w:rPr>
              <w:t>否</w:t>
            </w:r>
          </w:p>
        </w:tc>
        <w:tc>
          <w:tcPr>
            <w:tcW w:type="dxa" w:w="1728"/>
          </w:tcPr>
          <w:p>
            <w:r/>
            <w:r>
              <w:rPr>
                <w:rFonts w:ascii="宋体" w:hAnsi="宋体" w:eastAsia="宋体"/>
                <w:b w:val="0"/>
                <w:sz w:val="21"/>
              </w:rPr>
              <w:t>否</w:t>
            </w:r>
          </w:p>
        </w:tc>
        <w:tc>
          <w:tcPr>
            <w:tcW w:type="dxa" w:w="1728"/>
          </w:tcPr>
          <w:p>
            <w:r/>
            <w:r>
              <w:rPr>
                <w:rFonts w:ascii="宋体" w:hAnsi="宋体" w:eastAsia="宋体"/>
                <w:b w:val="0"/>
                <w:sz w:val="21"/>
              </w:rPr>
              <w:t>是</w:t>
            </w:r>
          </w:p>
        </w:tc>
        <w:tc>
          <w:tcPr>
            <w:tcW w:type="dxa" w:w="1728"/>
          </w:tcPr>
          <w:p>
            <w:r/>
            <w:r>
              <w:rPr>
                <w:rFonts w:ascii="宋体" w:hAnsi="宋体" w:eastAsia="宋体"/>
                <w:b w:val="0"/>
                <w:sz w:val="21"/>
              </w:rPr>
              <w:t>否</w:t>
            </w:r>
          </w:p>
        </w:tc>
      </w:tr>
      <w:tr>
        <w:tc>
          <w:tcPr>
            <w:tcW w:type="dxa" w:w="1728"/>
          </w:tcPr>
          <w:p>
            <w:r/>
            <w:r>
              <w:rPr>
                <w:rFonts w:ascii="宋体" w:hAnsi="宋体" w:eastAsia="宋体"/>
                <w:b w:val="0"/>
                <w:sz w:val="21"/>
              </w:rPr>
              <w:t>公司固定效应</w:t>
            </w:r>
          </w:p>
        </w:tc>
        <w:tc>
          <w:tcPr>
            <w:tcW w:type="dxa" w:w="1728"/>
          </w:tcPr>
          <w:p>
            <w:r/>
            <w:r>
              <w:rPr>
                <w:rFonts w:ascii="宋体" w:hAnsi="宋体" w:eastAsia="宋体"/>
                <w:b w:val="0"/>
                <w:sz w:val="21"/>
              </w:rPr>
              <w:t>否</w:t>
            </w:r>
          </w:p>
        </w:tc>
        <w:tc>
          <w:tcPr>
            <w:tcW w:type="dxa" w:w="1728"/>
          </w:tcPr>
          <w:p>
            <w:r/>
            <w:r>
              <w:rPr>
                <w:rFonts w:ascii="宋体" w:hAnsi="宋体" w:eastAsia="宋体"/>
                <w:b w:val="0"/>
                <w:sz w:val="21"/>
              </w:rPr>
              <w:t>否</w:t>
            </w:r>
          </w:p>
        </w:tc>
        <w:tc>
          <w:tcPr>
            <w:tcW w:type="dxa" w:w="1728"/>
          </w:tcPr>
          <w:p>
            <w:r/>
            <w:r>
              <w:rPr>
                <w:rFonts w:ascii="宋体" w:hAnsi="宋体" w:eastAsia="宋体"/>
                <w:b w:val="0"/>
                <w:sz w:val="21"/>
              </w:rPr>
              <w:t>否</w:t>
            </w:r>
          </w:p>
        </w:tc>
        <w:tc>
          <w:tcPr>
            <w:tcW w:type="dxa" w:w="1728"/>
          </w:tcPr>
          <w:p>
            <w:r/>
            <w:r>
              <w:rPr>
                <w:rFonts w:ascii="宋体" w:hAnsi="宋体" w:eastAsia="宋体"/>
                <w:b w:val="0"/>
                <w:sz w:val="21"/>
              </w:rPr>
              <w:t>是</w:t>
            </w:r>
          </w:p>
        </w:tc>
      </w:tr>
      <w:tr>
        <w:tc>
          <w:tcPr>
            <w:tcW w:type="dxa" w:w="1728"/>
          </w:tcPr>
          <w:p>
            <w:r/>
            <w:r>
              <w:rPr>
                <w:rFonts w:ascii="宋体" w:hAnsi="宋体" w:eastAsia="宋体"/>
                <w:b w:val="0"/>
                <w:sz w:val="21"/>
              </w:rPr>
              <w:t>年度固定效应</w:t>
            </w:r>
          </w:p>
        </w:tc>
        <w:tc>
          <w:tcPr>
            <w:tcW w:type="dxa" w:w="1728"/>
          </w:tcPr>
          <w:p>
            <w:r/>
            <w:r>
              <w:rPr>
                <w:rFonts w:ascii="宋体" w:hAnsi="宋体" w:eastAsia="宋体"/>
                <w:b w:val="0"/>
                <w:sz w:val="21"/>
              </w:rPr>
              <w:t>是</w:t>
            </w:r>
          </w:p>
        </w:tc>
        <w:tc>
          <w:tcPr>
            <w:tcW w:type="dxa" w:w="1728"/>
          </w:tcPr>
          <w:p>
            <w:r/>
            <w:r>
              <w:rPr>
                <w:rFonts w:ascii="宋体" w:hAnsi="宋体" w:eastAsia="宋体"/>
                <w:b w:val="0"/>
                <w:sz w:val="21"/>
              </w:rPr>
              <w:t>是</w:t>
            </w:r>
          </w:p>
        </w:tc>
        <w:tc>
          <w:tcPr>
            <w:tcW w:type="dxa" w:w="1728"/>
          </w:tcPr>
          <w:p>
            <w:r/>
            <w:r>
              <w:rPr>
                <w:rFonts w:ascii="宋体" w:hAnsi="宋体" w:eastAsia="宋体"/>
                <w:b w:val="0"/>
                <w:sz w:val="21"/>
              </w:rPr>
              <w:t>是</w:t>
            </w:r>
          </w:p>
        </w:tc>
        <w:tc>
          <w:tcPr>
            <w:tcW w:type="dxa" w:w="1728"/>
          </w:tcPr>
          <w:p>
            <w:r/>
            <w:r>
              <w:rPr>
                <w:rFonts w:ascii="宋体" w:hAnsi="宋体" w:eastAsia="宋体"/>
                <w:b w:val="0"/>
                <w:sz w:val="21"/>
              </w:rPr>
              <w:t>是</w:t>
            </w:r>
          </w:p>
        </w:tc>
      </w:tr>
      <w:tr>
        <w:tc>
          <w:tcPr>
            <w:tcW w:type="dxa" w:w="1728"/>
          </w:tcPr>
          <w:p>
            <w:r/>
            <w:r>
              <w:rPr>
                <w:rFonts w:ascii="宋体" w:hAnsi="宋体" w:eastAsia="宋体"/>
                <w:b w:val="0"/>
                <w:sz w:val="21"/>
              </w:rPr>
              <w:t>N</w:t>
            </w:r>
          </w:p>
        </w:tc>
        <w:tc>
          <w:tcPr>
            <w:tcW w:type="dxa" w:w="1728"/>
          </w:tcPr>
          <w:p>
            <w:r/>
            <w:r>
              <w:rPr>
                <w:rFonts w:ascii="宋体" w:hAnsi="宋体" w:eastAsia="宋体"/>
                <w:b w:val="0"/>
                <w:sz w:val="21"/>
              </w:rPr>
              <w:t>112</w:t>
            </w:r>
          </w:p>
        </w:tc>
        <w:tc>
          <w:tcPr>
            <w:tcW w:type="dxa" w:w="1728"/>
          </w:tcPr>
          <w:p>
            <w:r/>
            <w:r>
              <w:rPr>
                <w:rFonts w:ascii="宋体" w:hAnsi="宋体" w:eastAsia="宋体"/>
                <w:b w:val="0"/>
                <w:sz w:val="21"/>
              </w:rPr>
              <w:t>112</w:t>
            </w:r>
          </w:p>
        </w:tc>
        <w:tc>
          <w:tcPr>
            <w:tcW w:type="dxa" w:w="1728"/>
          </w:tcPr>
          <w:p>
            <w:r/>
            <w:r>
              <w:rPr>
                <w:rFonts w:ascii="宋体" w:hAnsi="宋体" w:eastAsia="宋体"/>
                <w:b w:val="0"/>
                <w:sz w:val="21"/>
              </w:rPr>
              <w:t>112</w:t>
            </w:r>
          </w:p>
        </w:tc>
        <w:tc>
          <w:tcPr>
            <w:tcW w:type="dxa" w:w="1728"/>
          </w:tcPr>
          <w:p>
            <w:r/>
            <w:r>
              <w:rPr>
                <w:rFonts w:ascii="宋体" w:hAnsi="宋体" w:eastAsia="宋体"/>
                <w:b w:val="0"/>
                <w:sz w:val="21"/>
              </w:rPr>
              <w:t>112</w:t>
            </w:r>
          </w:p>
        </w:tc>
      </w:tr>
      <w:tr>
        <w:tc>
          <w:tcPr>
            <w:tcW w:type="dxa" w:w="1728"/>
          </w:tcPr>
          <w:p>
            <w:r/>
            <w:r>
              <w:rPr>
                <w:rFonts w:ascii="宋体" w:hAnsi="宋体" w:eastAsia="宋体"/>
                <w:b w:val="0"/>
                <w:sz w:val="21"/>
              </w:rPr>
              <w:t>R²</w:t>
            </w:r>
          </w:p>
        </w:tc>
        <w:tc>
          <w:tcPr>
            <w:tcW w:type="dxa" w:w="1728"/>
          </w:tcPr>
          <w:p>
            <w:r/>
            <w:r>
              <w:rPr>
                <w:rFonts w:ascii="宋体" w:hAnsi="宋体" w:eastAsia="宋体"/>
                <w:b w:val="0"/>
                <w:sz w:val="21"/>
              </w:rPr>
              <w:t>0.191</w:t>
            </w:r>
          </w:p>
        </w:tc>
        <w:tc>
          <w:tcPr>
            <w:tcW w:type="dxa" w:w="1728"/>
          </w:tcPr>
          <w:p>
            <w:r/>
            <w:r>
              <w:rPr>
                <w:rFonts w:ascii="宋体" w:hAnsi="宋体" w:eastAsia="宋体"/>
                <w:b w:val="0"/>
                <w:sz w:val="21"/>
              </w:rPr>
              <w:t>0.512</w:t>
            </w:r>
          </w:p>
        </w:tc>
        <w:tc>
          <w:tcPr>
            <w:tcW w:type="dxa" w:w="1728"/>
          </w:tcPr>
          <w:p>
            <w:r/>
            <w:r>
              <w:rPr>
                <w:rFonts w:ascii="宋体" w:hAnsi="宋体" w:eastAsia="宋体"/>
                <w:b w:val="0"/>
                <w:sz w:val="21"/>
              </w:rPr>
              <w:t>0.762</w:t>
            </w:r>
          </w:p>
        </w:tc>
        <w:tc>
          <w:tcPr>
            <w:tcW w:type="dxa" w:w="1728"/>
          </w:tcPr>
          <w:p>
            <w:r/>
            <w:r>
              <w:rPr>
                <w:rFonts w:ascii="宋体" w:hAnsi="宋体" w:eastAsia="宋体"/>
                <w:b w:val="0"/>
                <w:sz w:val="21"/>
              </w:rPr>
              <w:t>0.907</w:t>
            </w:r>
          </w:p>
        </w:tc>
      </w:tr>
    </w:tbl>
    <w:p>
      <w:pPr>
        <w:spacing w:after="120" w:line="360" w:lineRule="auto"/>
        <w:ind w:firstLine="480"/>
      </w:pPr>
      <w:r>
        <w:rPr>
          <w:rFonts w:ascii="宋体" w:hAnsi="宋体" w:eastAsia="宋体"/>
          <w:b w:val="0"/>
          <w:sz w:val="24"/>
        </w:rPr>
        <w:t>注：</w:t>
      </w:r>
      <w:r>
        <w:rPr>
          <w:rFonts w:ascii="宋体" w:hAnsi="宋体" w:eastAsia="宋体"/>
          <w:b/>
          <w:sz w:val="24"/>
        </w:rPr>
        <w:t>*、</w:t>
      </w:r>
      <w:r>
        <w:rPr>
          <w:rFonts w:ascii="宋体" w:hAnsi="宋体" w:eastAsia="宋体"/>
          <w:b w:val="0"/>
          <w:sz w:val="24"/>
        </w:rPr>
        <w:t>、* 分别表示在 1%、5%、10% 水平上显著；标准误在公司层面聚类；语调变量为百分数口径。</w:t>
      </w:r>
    </w:p>
    <w:p>
      <w:pPr>
        <w:spacing w:after="120" w:line="360" w:lineRule="auto"/>
        <w:ind w:firstLine="480"/>
      </w:pPr>
      <w:r>
        <w:rPr>
          <w:rFonts w:ascii="宋体" w:hAnsi="宋体" w:eastAsia="宋体"/>
          <w:b/>
          <w:sz w:val="24"/>
        </w:rPr>
        <w:t>对 H1 的检验（模型 1—2）。</w:t>
      </w:r>
      <w:r>
        <w:rPr>
          <w:rFonts w:ascii="宋体" w:hAnsi="宋体" w:eastAsia="宋体"/>
          <w:b w:val="0"/>
          <w:sz w:val="24"/>
        </w:rPr>
        <w:t xml:space="preserve"> 模型 (1) 中语调系数为 1.574，t=2.24，在 5% 水平显著。系数的经济含义是：净语调每提高 1 个百分点，下一年总资产净利率平均提高约 1.57 个百分点。考虑语调的标准差为 1.831 个百分点，一个标准差的语调提升对应下一年 ROA 提升约 2.88 个百分点——相对于 roa_next 的均值 7.035%，这是约 41% 的变动幅度，经济意义相当可观。模型 (2) 加入规模、杠杆与成长性三个控制变量后，语调系数下降至 1.124（t=2.41），显著性反而略有提升（p 从 0.0249 降至 0.0158），调整 R² 从 0.169 提升至 0.484。</w:t>
      </w:r>
      <w:r>
        <w:rPr>
          <w:rFonts w:ascii="宋体" w:hAnsi="宋体" w:eastAsia="宋体"/>
          <w:b/>
          <w:sz w:val="24"/>
        </w:rPr>
        <w:t>控制变量并未吸收语调的预测力，反而因残差方差下降而使估计更精确，这构成 H1 的有力支持。</w:t>
      </w:r>
    </w:p>
    <w:p>
      <w:pPr>
        <w:spacing w:after="120" w:line="360" w:lineRule="auto"/>
        <w:ind w:firstLine="480"/>
      </w:pPr>
      <w:r>
        <w:rPr>
          <w:rFonts w:ascii="宋体" w:hAnsi="宋体" w:eastAsia="宋体"/>
          <w:b w:val="0"/>
          <w:sz w:val="24"/>
        </w:rPr>
        <w:t>系数从 1.574 降至 1.124 的幅度约为 29%，说明语调与未来业绩的关系中确有一部分来自"公司规模更大、杠杆更低、成长性更好时语调更积极"这一渠道。但剩余的 1.124 在统计上依然稳健，说明语调携带独立于这三个基本面变量的信息。</w:t>
      </w:r>
    </w:p>
    <w:p>
      <w:pPr>
        <w:spacing w:after="120" w:line="360" w:lineRule="auto"/>
        <w:ind w:firstLine="480"/>
      </w:pPr>
      <w:r>
        <w:rPr>
          <w:rFonts w:ascii="宋体" w:hAnsi="宋体" w:eastAsia="宋体"/>
          <w:b/>
          <w:sz w:val="24"/>
        </w:rPr>
        <w:t>对 H2 的检验（模型 3）。</w:t>
      </w:r>
      <w:r>
        <w:rPr>
          <w:rFonts w:ascii="宋体" w:hAnsi="宋体" w:eastAsia="宋体"/>
          <w:b w:val="0"/>
          <w:sz w:val="24"/>
        </w:rPr>
        <w:t xml:space="preserve"> 模型 (3) 进一步纳入当期 ROA——一个解释力极强的控制变量。加入当期 ROA 后，模型调整 R² 从 0.484 跃升至 0.746，说明当期业绩确实解释了未来业绩的绝大部分变异。在这一严格设定下，语调系数从 1.124 降至 0.451，降幅约 60%，t 值从 2.41 降至 1.82，p 值为 0.0692，在 10% 水平上边际显著。</w:t>
      </w:r>
      <w:r>
        <w:rPr>
          <w:rFonts w:ascii="宋体" w:hAnsi="宋体" w:eastAsia="宋体"/>
          <w:b/>
          <w:sz w:val="24"/>
        </w:rPr>
        <w:t>这一结果对 H2 构成"部分支持"</w:t>
      </w:r>
      <w:r>
        <w:rPr>
          <w:rFonts w:ascii="宋体" w:hAnsi="宋体" w:eastAsia="宋体"/>
          <w:b w:val="0"/>
          <w:sz w:val="24"/>
        </w:rPr>
        <w:t>：语调的预测力有相当大的一部分确实可以被当期业绩解释（这符合直觉，因为语调部分地是对已实现业绩的语言描述），但在剔除这部分之后，语调仍保留了方向一致、边际显著的正向增量预测力。换言之，语调不是纯粹的"旧闻复读机"，但也远非独立的强预测因子——它更像是当期业绩的一个</w:t>
      </w:r>
      <w:r>
        <w:rPr>
          <w:rFonts w:ascii="宋体" w:hAnsi="宋体" w:eastAsia="宋体"/>
          <w:b/>
          <w:sz w:val="24"/>
        </w:rPr>
        <w:t>有噪声的信号延拓</w:t>
      </w:r>
      <w:r>
        <w:rPr>
          <w:rFonts w:ascii="宋体" w:hAnsi="宋体" w:eastAsia="宋体"/>
          <w:b w:val="0"/>
          <w:sz w:val="24"/>
        </w:rPr>
        <w:t>。</w:t>
      </w:r>
    </w:p>
    <w:p>
      <w:pPr>
        <w:spacing w:after="120" w:line="360" w:lineRule="auto"/>
        <w:ind w:firstLine="480"/>
      </w:pPr>
      <w:r>
        <w:rPr>
          <w:rFonts w:ascii="宋体" w:hAnsi="宋体" w:eastAsia="宋体"/>
          <w:b w:val="0"/>
          <w:sz w:val="24"/>
        </w:rPr>
        <w:t>从经济学角度看，0.451 的系数意味着在同期业绩完全相同的情况下，净语调高出 1 个百分点的公司，下一年 ROA 平均高出约 0.45 个百分点。这一效应约为 H1 原始估计（1.574）的三分之一，符合"语调中既有基本面映射成分也有前瞻性成分"的解释。</w:t>
      </w:r>
    </w:p>
    <w:p>
      <w:pPr>
        <w:spacing w:after="120" w:line="360" w:lineRule="auto"/>
        <w:ind w:firstLine="480"/>
      </w:pPr>
      <w:r>
        <w:rPr>
          <w:rFonts w:ascii="宋体" w:hAnsi="宋体" w:eastAsia="宋体"/>
          <w:b/>
          <w:sz w:val="24"/>
        </w:rPr>
        <w:t>对模型 (4) 的补充分析：语调预测力的来源。</w:t>
      </w:r>
      <w:r>
        <w:rPr>
          <w:rFonts w:ascii="宋体" w:hAnsi="宋体" w:eastAsia="宋体"/>
          <w:b w:val="0"/>
          <w:sz w:val="24"/>
        </w:rPr>
        <w:t xml:space="preserve"> 模型 (4) 采用公司 + 年度双向固定效应，语调系数骤降至 0.091（t=0.34，p=0.7343），完全不显著。这是一项负面结果，但具有明确的信息价值，值得认真讨论而非回避。</w:t>
      </w:r>
    </w:p>
    <w:p>
      <w:pPr>
        <w:spacing w:after="120" w:line="360" w:lineRule="auto"/>
        <w:ind w:firstLine="480"/>
      </w:pPr>
      <w:r>
        <w:rPr>
          <w:rFonts w:ascii="宋体" w:hAnsi="宋体" w:eastAsia="宋体"/>
          <w:b w:val="0"/>
          <w:sz w:val="24"/>
        </w:rPr>
        <w:t>系数从模型 (2) 的 1.124 坍塌至模型 (4) 的 0.091，意味着</w:t>
      </w:r>
      <w:r>
        <w:rPr>
          <w:rFonts w:ascii="宋体" w:hAnsi="宋体" w:eastAsia="宋体"/>
          <w:b/>
          <w:sz w:val="24"/>
        </w:rPr>
        <w:t>语调与未来业绩的关联几乎完全来自公司之间的横截面差异，而非同一公司内部的时序变化</w:t>
      </w:r>
      <w:r>
        <w:rPr>
          <w:rFonts w:ascii="宋体" w:hAnsi="宋体" w:eastAsia="宋体"/>
          <w:b w:val="0"/>
          <w:sz w:val="24"/>
        </w:rPr>
        <w:t>。具体来说：语调较高的公司确实未来业绩更好（截面关系成立），但对同一家公司而言，某一年语调变积极并不预示着下一年业绩改善（时序关系不成立）。这可能有两方面原因。其一是</w:t>
      </w:r>
      <w:r>
        <w:rPr>
          <w:rFonts w:ascii="宋体" w:hAnsi="宋体" w:eastAsia="宋体"/>
          <w:b/>
          <w:sz w:val="24"/>
        </w:rPr>
        <w:t>测度的时序分辨率问题</w:t>
      </w:r>
      <w:r>
        <w:rPr>
          <w:rFonts w:ascii="宋体" w:hAnsi="宋体" w:eastAsia="宋体"/>
          <w:b w:val="0"/>
          <w:sz w:val="24"/>
        </w:rPr>
        <w:t>：语调的跨公司差异在很大程度上反映的是行业属性、商业模式与公司文化的持续特征（例如消费类公司天然比周期性资源类公司语气乐观），这类差异被公司固定效应完全吸收；而同一公司语调的年度波动可能主要来自披露模板调整、话题切换等与业绩无关的因素。其二是</w:t>
      </w:r>
      <w:r>
        <w:rPr>
          <w:rFonts w:ascii="宋体" w:hAnsi="宋体" w:eastAsia="宋体"/>
          <w:b/>
          <w:sz w:val="24"/>
        </w:rPr>
        <w:t>统计功效问题</w:t>
      </w:r>
      <w:r>
        <w:rPr>
          <w:rFonts w:ascii="宋体" w:hAnsi="宋体" w:eastAsia="宋体"/>
          <w:b w:val="0"/>
          <w:sz w:val="24"/>
        </w:rPr>
        <w:t>：模型 (4) 引入了 38 个公司虚拟变量，在公司数 39 家、平均观测年限不足 3 年的非平衡短面板中，公司固定效应消耗了大量自由度，剩余的公司内变异既小又噪声大，t 值天然偏低。</w:t>
      </w:r>
    </w:p>
    <w:p>
      <w:pPr>
        <w:spacing w:after="120" w:line="360" w:lineRule="auto"/>
        <w:ind w:firstLine="480"/>
      </w:pPr>
      <w:r>
        <w:rPr>
          <w:rFonts w:ascii="宋体" w:hAnsi="宋体" w:eastAsia="宋体"/>
          <w:b w:val="0"/>
          <w:sz w:val="24"/>
        </w:rPr>
        <w:t>因此，本文对模型 (4) 的解读是审慎的：它提示语调预测力具有强烈的横截面属性，因此</w:t>
      </w:r>
      <w:r>
        <w:rPr>
          <w:rFonts w:ascii="宋体" w:hAnsi="宋体" w:eastAsia="宋体"/>
          <w:b/>
          <w:sz w:val="24"/>
        </w:rPr>
        <w:t>基于语调的投资或监管应用应当把公司与其自身历史比较，而不应期望"语调转积极"这一年度信号本身具备强预测力</w:t>
      </w:r>
      <w:r>
        <w:rPr>
          <w:rFonts w:ascii="宋体" w:hAnsi="宋体" w:eastAsia="宋体"/>
          <w:b w:val="0"/>
          <w:sz w:val="24"/>
        </w:rPr>
        <w:t>。同时，鉴于聚类数（39 家）与公司内样本量偏小，该结果不足以作为否决 H1/H2 的证据，更合理的定位是"提示语调识别策略的适用边界"。</w:t>
      </w:r>
    </w:p>
    <w:p>
      <w:pPr>
        <w:spacing w:before="200" w:after="160"/>
      </w:pPr>
      <w:r>
        <w:rPr>
          <w:rFonts w:ascii="黑体" w:hAnsi="黑体" w:eastAsia="黑体"/>
          <w:b/>
          <w:sz w:val="25"/>
        </w:rPr>
        <w:t>5.5 语调可信度的异质性检验（H3）</w:t>
      </w:r>
    </w:p>
    <w:p>
      <w:pPr>
        <w:spacing w:after="120" w:line="360" w:lineRule="auto"/>
        <w:ind w:firstLine="480"/>
      </w:pPr>
      <w:r>
        <w:rPr>
          <w:rFonts w:ascii="宋体" w:hAnsi="宋体" w:eastAsia="宋体"/>
          <w:b/>
          <w:sz w:val="24"/>
        </w:rPr>
        <w:t>表 7</w:t>
      </w:r>
      <w:r>
        <w:rPr>
          <w:rFonts w:ascii="宋体" w:hAnsi="宋体" w:eastAsia="宋体"/>
          <w:b w:val="0"/>
          <w:sz w:val="24"/>
        </w:rPr>
        <w:t xml:space="preserve"> 报告 H3 的交互项检验结果（在模型 (2) 的设定上引入交互项，即年度固定效应 + 控制变量）。</w:t>
      </w:r>
    </w:p>
    <w:p>
      <w:pPr>
        <w:spacing w:after="120" w:line="360" w:lineRule="auto"/>
        <w:ind w:firstLine="480"/>
      </w:pPr>
      <w:r>
        <w:rPr>
          <w:rFonts w:ascii="宋体" w:hAnsi="宋体" w:eastAsia="宋体"/>
          <w:b/>
          <w:sz w:val="24"/>
        </w:rPr>
        <w:t>表 7  语调可信度的异质性检验（H3）</w:t>
      </w:r>
      <w:r>
        <w:rPr>
          <w:rFonts w:ascii="宋体" w:hAnsi="宋体" w:eastAsia="宋体"/>
          <w:b w:val="0"/>
          <w:sz w:val="24"/>
        </w:rPr>
        <w:t xml:space="preserve">（对应文件 </w:t>
      </w:r>
      <w:r>
        <w:rPr>
          <w:rFonts w:ascii="Consolas" w:hAnsi="Consolas" w:eastAsia="Consolas"/>
          <w:b w:val="0"/>
          <w:sz w:val="22"/>
        </w:rPr>
        <w:t>output/tables/tab5_interaction.csv</w:t>
      </w:r>
      <w:r>
        <w:rPr>
          <w:rFonts w:ascii="宋体" w:hAnsi="宋体" w:eastAsia="宋体"/>
          <w:b w:val="0"/>
          <w:sz w:val="24"/>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宋体" w:hAnsi="宋体" w:eastAsia="宋体"/>
                <w:b/>
                <w:sz w:val="21"/>
              </w:rPr>
              <w:t>检验</w:t>
            </w:r>
          </w:p>
        </w:tc>
        <w:tc>
          <w:tcPr>
            <w:tcW w:type="dxa" w:w="1234"/>
          </w:tcPr>
          <w:p>
            <w:pPr>
              <w:jc w:val="center"/>
            </w:pPr>
            <w:r/>
            <w:r>
              <w:rPr>
                <w:rFonts w:ascii="宋体" w:hAnsi="宋体" w:eastAsia="宋体"/>
                <w:b/>
                <w:sz w:val="21"/>
              </w:rPr>
              <w:t>TONE 主项系数</w:t>
            </w:r>
          </w:p>
        </w:tc>
        <w:tc>
          <w:tcPr>
            <w:tcW w:type="dxa" w:w="1234"/>
          </w:tcPr>
          <w:p>
            <w:pPr>
              <w:jc w:val="center"/>
            </w:pPr>
            <w:r/>
            <w:r>
              <w:rPr>
                <w:rFonts w:ascii="宋体" w:hAnsi="宋体" w:eastAsia="宋体"/>
                <w:b/>
                <w:sz w:val="21"/>
              </w:rPr>
              <w:t>t 值</w:t>
            </w:r>
          </w:p>
        </w:tc>
        <w:tc>
          <w:tcPr>
            <w:tcW w:type="dxa" w:w="1234"/>
          </w:tcPr>
          <w:p>
            <w:pPr>
              <w:jc w:val="center"/>
            </w:pPr>
            <w:r/>
            <w:r>
              <w:rPr>
                <w:rFonts w:ascii="宋体" w:hAnsi="宋体" w:eastAsia="宋体"/>
                <w:b/>
                <w:sz w:val="21"/>
              </w:rPr>
              <w:t>交互项系数</w:t>
            </w:r>
          </w:p>
        </w:tc>
        <w:tc>
          <w:tcPr>
            <w:tcW w:type="dxa" w:w="1234"/>
          </w:tcPr>
          <w:p>
            <w:pPr>
              <w:jc w:val="center"/>
            </w:pPr>
            <w:r/>
            <w:r>
              <w:rPr>
                <w:rFonts w:ascii="宋体" w:hAnsi="宋体" w:eastAsia="宋体"/>
                <w:b/>
                <w:sz w:val="21"/>
              </w:rPr>
              <w:t>t 值</w:t>
            </w:r>
          </w:p>
        </w:tc>
        <w:tc>
          <w:tcPr>
            <w:tcW w:type="dxa" w:w="1234"/>
          </w:tcPr>
          <w:p>
            <w:pPr>
              <w:jc w:val="center"/>
            </w:pPr>
            <w:r/>
            <w:r>
              <w:rPr>
                <w:rFonts w:ascii="宋体" w:hAnsi="宋体" w:eastAsia="宋体"/>
                <w:b/>
                <w:sz w:val="21"/>
              </w:rPr>
              <w:t>p 值</w:t>
            </w:r>
          </w:p>
        </w:tc>
        <w:tc>
          <w:tcPr>
            <w:tcW w:type="dxa" w:w="1234"/>
          </w:tcPr>
          <w:p>
            <w:pPr>
              <w:jc w:val="center"/>
            </w:pPr>
            <w:r/>
            <w:r>
              <w:rPr>
                <w:rFonts w:ascii="宋体" w:hAnsi="宋体" w:eastAsia="宋体"/>
                <w:b/>
                <w:sz w:val="21"/>
              </w:rPr>
              <w:t>N</w:t>
            </w:r>
          </w:p>
        </w:tc>
      </w:tr>
      <w:tr>
        <w:tc>
          <w:tcPr>
            <w:tcW w:type="dxa" w:w="1234"/>
          </w:tcPr>
          <w:p>
            <w:r/>
            <w:r>
              <w:rPr>
                <w:rFonts w:ascii="宋体" w:hAnsi="宋体" w:eastAsia="宋体"/>
                <w:b w:val="0"/>
                <w:sz w:val="21"/>
              </w:rPr>
              <w:t>M1：TONE × 过度乐观哑变量</w:t>
            </w:r>
          </w:p>
        </w:tc>
        <w:tc>
          <w:tcPr>
            <w:tcW w:type="dxa" w:w="1234"/>
          </w:tcPr>
          <w:p>
            <w:r/>
            <w:r>
              <w:rPr>
                <w:rFonts w:ascii="宋体" w:hAnsi="宋体" w:eastAsia="宋体"/>
                <w:b w:val="0"/>
                <w:sz w:val="21"/>
              </w:rPr>
              <w:t>0.998</w:t>
            </w:r>
          </w:p>
        </w:tc>
        <w:tc>
          <w:tcPr>
            <w:tcW w:type="dxa" w:w="1234"/>
          </w:tcPr>
          <w:p>
            <w:r/>
            <w:r>
              <w:rPr>
                <w:rFonts w:ascii="宋体" w:hAnsi="宋体" w:eastAsia="宋体"/>
                <w:b w:val="0"/>
                <w:sz w:val="21"/>
              </w:rPr>
              <w:t>2.27</w:t>
            </w:r>
          </w:p>
        </w:tc>
        <w:tc>
          <w:tcPr>
            <w:tcW w:type="dxa" w:w="1234"/>
          </w:tcPr>
          <w:p>
            <w:r/>
            <w:r>
              <w:rPr>
                <w:rFonts w:ascii="宋体" w:hAnsi="宋体" w:eastAsia="宋体"/>
                <w:b w:val="0"/>
                <w:sz w:val="21"/>
              </w:rPr>
              <w:t>0.140</w:t>
            </w:r>
          </w:p>
        </w:tc>
        <w:tc>
          <w:tcPr>
            <w:tcW w:type="dxa" w:w="1234"/>
          </w:tcPr>
          <w:p>
            <w:r/>
            <w:r>
              <w:rPr>
                <w:rFonts w:ascii="宋体" w:hAnsi="宋体" w:eastAsia="宋体"/>
                <w:b w:val="0"/>
                <w:sz w:val="21"/>
              </w:rPr>
              <w:t>0.40</w:t>
            </w:r>
          </w:p>
        </w:tc>
        <w:tc>
          <w:tcPr>
            <w:tcW w:type="dxa" w:w="1234"/>
          </w:tcPr>
          <w:p>
            <w:r/>
            <w:r>
              <w:rPr>
                <w:rFonts w:ascii="宋体" w:hAnsi="宋体" w:eastAsia="宋体"/>
                <w:b w:val="0"/>
                <w:sz w:val="21"/>
              </w:rPr>
              <w:t>0.6878</w:t>
            </w:r>
          </w:p>
        </w:tc>
        <w:tc>
          <w:tcPr>
            <w:tcW w:type="dxa" w:w="1234"/>
          </w:tcPr>
          <w:p>
            <w:r/>
            <w:r>
              <w:rPr>
                <w:rFonts w:ascii="宋体" w:hAnsi="宋体" w:eastAsia="宋体"/>
                <w:b w:val="0"/>
                <w:sz w:val="21"/>
              </w:rPr>
              <w:t>112</w:t>
            </w:r>
          </w:p>
        </w:tc>
      </w:tr>
      <w:tr>
        <w:tc>
          <w:tcPr>
            <w:tcW w:type="dxa" w:w="1234"/>
          </w:tcPr>
          <w:p>
            <w:r/>
            <w:r>
              <w:rPr>
                <w:rFonts w:ascii="宋体" w:hAnsi="宋体" w:eastAsia="宋体"/>
                <w:b w:val="0"/>
                <w:sz w:val="21"/>
              </w:rPr>
              <w:t>M2：TONE × 高杠杆哑变量</w:t>
            </w:r>
          </w:p>
        </w:tc>
        <w:tc>
          <w:tcPr>
            <w:tcW w:type="dxa" w:w="1234"/>
          </w:tcPr>
          <w:p>
            <w:r/>
            <w:r>
              <w:rPr>
                <w:rFonts w:ascii="宋体" w:hAnsi="宋体" w:eastAsia="宋体"/>
                <w:b w:val="0"/>
                <w:sz w:val="21"/>
              </w:rPr>
              <w:t>0.879</w:t>
            </w:r>
          </w:p>
        </w:tc>
        <w:tc>
          <w:tcPr>
            <w:tcW w:type="dxa" w:w="1234"/>
          </w:tcPr>
          <w:p>
            <w:r/>
            <w:r>
              <w:rPr>
                <w:rFonts w:ascii="宋体" w:hAnsi="宋体" w:eastAsia="宋体"/>
                <w:b w:val="0"/>
                <w:sz w:val="21"/>
              </w:rPr>
              <w:t>1.55</w:t>
            </w:r>
          </w:p>
        </w:tc>
        <w:tc>
          <w:tcPr>
            <w:tcW w:type="dxa" w:w="1234"/>
          </w:tcPr>
          <w:p>
            <w:r/>
            <w:r>
              <w:rPr>
                <w:rFonts w:ascii="宋体" w:hAnsi="宋体" w:eastAsia="宋体"/>
                <w:b w:val="0"/>
                <w:sz w:val="21"/>
              </w:rPr>
              <w:t>0.550</w:t>
            </w:r>
          </w:p>
        </w:tc>
        <w:tc>
          <w:tcPr>
            <w:tcW w:type="dxa" w:w="1234"/>
          </w:tcPr>
          <w:p>
            <w:r/>
            <w:r>
              <w:rPr>
                <w:rFonts w:ascii="宋体" w:hAnsi="宋体" w:eastAsia="宋体"/>
                <w:b w:val="0"/>
                <w:sz w:val="21"/>
              </w:rPr>
              <w:t>1.55</w:t>
            </w:r>
          </w:p>
        </w:tc>
        <w:tc>
          <w:tcPr>
            <w:tcW w:type="dxa" w:w="1234"/>
          </w:tcPr>
          <w:p>
            <w:r/>
            <w:r>
              <w:rPr>
                <w:rFonts w:ascii="宋体" w:hAnsi="宋体" w:eastAsia="宋体"/>
                <w:b w:val="0"/>
                <w:sz w:val="21"/>
              </w:rPr>
              <w:t>0.1211</w:t>
            </w:r>
          </w:p>
        </w:tc>
        <w:tc>
          <w:tcPr>
            <w:tcW w:type="dxa" w:w="1234"/>
          </w:tcPr>
          <w:p>
            <w:r/>
            <w:r>
              <w:rPr>
                <w:rFonts w:ascii="宋体" w:hAnsi="宋体" w:eastAsia="宋体"/>
                <w:b w:val="0"/>
                <w:sz w:val="21"/>
              </w:rPr>
              <w:t>112</w:t>
            </w:r>
          </w:p>
        </w:tc>
      </w:tr>
    </w:tbl>
    <w:p>
      <w:pPr>
        <w:spacing w:after="120" w:line="360" w:lineRule="auto"/>
        <w:ind w:firstLine="480"/>
      </w:pPr>
      <w:r>
        <w:rPr>
          <w:rFonts w:ascii="宋体" w:hAnsi="宋体" w:eastAsia="宋体"/>
          <w:b/>
          <w:sz w:val="24"/>
        </w:rPr>
        <w:t>M1（过度乐观组）。</w:t>
      </w:r>
      <w:r>
        <w:rPr>
          <w:rFonts w:ascii="宋体" w:hAnsi="宋体" w:eastAsia="宋体"/>
          <w:b w:val="0"/>
          <w:sz w:val="24"/>
        </w:rPr>
        <w:t xml:space="preserve"> 语调超出当年横截面均值 1 个标准差的观测占样本的 11.6%（13 个观测）。交互项系数为 0.140，t=0.40，p=0.6878，</w:t>
      </w:r>
      <w:r>
        <w:rPr>
          <w:rFonts w:ascii="宋体" w:hAnsi="宋体" w:eastAsia="宋体"/>
          <w:b/>
          <w:sz w:val="24"/>
        </w:rPr>
        <w:t>方向与 H3 预期相反（预期为负）且完全不显著</w:t>
      </w:r>
      <w:r>
        <w:rPr>
          <w:rFonts w:ascii="宋体" w:hAnsi="宋体" w:eastAsia="宋体"/>
          <w:b w:val="0"/>
          <w:sz w:val="24"/>
        </w:rPr>
        <w:t>。主项系数 0.998（t=2.27）在 5% 水平显著，说明基准组（语调未过度偏离的样本）的语调预测力依然存在。这一结果意味着：</w:t>
      </w:r>
      <w:r>
        <w:rPr>
          <w:rFonts w:ascii="宋体" w:hAnsi="宋体" w:eastAsia="宋体"/>
          <w:b/>
          <w:sz w:val="24"/>
        </w:rPr>
        <w:t>没有证据表明语调偏离横截面均值会削弱其预测力。</w:t>
      </w:r>
      <w:r>
        <w:rPr>
          <w:rFonts w:ascii="宋体" w:hAnsi="宋体" w:eastAsia="宋体"/>
          <w:b w:val="0"/>
          <w:sz w:val="24"/>
        </w:rPr>
        <w:t xml:space="preserve"> 一个可能的解释是，D_overOptim 的定义基于"高于同期横截面均值 1 个标准差"，这既可能捕捉"策略性夸大"，也可能捕捉"确实拥有超常前景的真实乐观"。如果两种样本混合存在，则交互项系数会被双向稀释而趋于零。更精细的识别需要对语调做"基本面残差化"处理（先用业绩与行业变量解释语调，再取残差作为操纵性成分），这是本文局限之一。</w:t>
      </w:r>
    </w:p>
    <w:p>
      <w:pPr>
        <w:spacing w:after="120" w:line="360" w:lineRule="auto"/>
        <w:ind w:firstLine="480"/>
      </w:pPr>
      <w:r>
        <w:rPr>
          <w:rFonts w:ascii="宋体" w:hAnsi="宋体" w:eastAsia="宋体"/>
          <w:b/>
          <w:sz w:val="24"/>
        </w:rPr>
        <w:t>M2（高杠杆组）。</w:t>
      </w:r>
      <w:r>
        <w:rPr>
          <w:rFonts w:ascii="宋体" w:hAnsi="宋体" w:eastAsia="宋体"/>
          <w:b w:val="0"/>
          <w:sz w:val="24"/>
        </w:rPr>
        <w:t xml:space="preserve"> 高杠杆组（lev 高于样本中位数）占样本的 50%。交互项系数为 0.550，t=1.55，p=0.1211，虽然未达 10% 显著性门槛，但</w:t>
      </w:r>
      <w:r>
        <w:rPr>
          <w:rFonts w:ascii="宋体" w:hAnsi="宋体" w:eastAsia="宋体"/>
          <w:b/>
          <w:sz w:val="24"/>
        </w:rPr>
        <w:t>方向与 H3 预期相反（预期为负）</w:t>
      </w:r>
      <w:r>
        <w:rPr>
          <w:rFonts w:ascii="宋体" w:hAnsi="宋体" w:eastAsia="宋体"/>
          <w:b w:val="0"/>
          <w:sz w:val="24"/>
        </w:rPr>
        <w:t>，且主项系数从 M1 的 0.998 降至 0.879 并变得不显著（t=1.55）——这说明在引入交互项后，低杠杆组的语调预测力估计变得不精确。考虑到本文样本量有限（112 个观测，高杠杆组约 56 个），交互项估计的统计功效不足（一个中等规模的交互效应在 n=112 时检出率通常低于 50%），因此该结果最好解读为"</w:t>
      </w:r>
      <w:r>
        <w:rPr>
          <w:rFonts w:ascii="宋体" w:hAnsi="宋体" w:eastAsia="宋体"/>
          <w:b/>
          <w:sz w:val="24"/>
        </w:rPr>
        <w:t>未发现支持 H3 的证据</w:t>
      </w:r>
      <w:r>
        <w:rPr>
          <w:rFonts w:ascii="宋体" w:hAnsi="宋体" w:eastAsia="宋体"/>
          <w:b w:val="0"/>
          <w:sz w:val="24"/>
        </w:rPr>
        <w:t>"而非"证明 H3 不成立"。</w:t>
      </w:r>
    </w:p>
    <w:p>
      <w:pPr>
        <w:spacing w:after="120" w:line="360" w:lineRule="auto"/>
        <w:ind w:firstLine="480"/>
      </w:pPr>
      <w:r>
        <w:rPr>
          <w:rFonts w:ascii="宋体" w:hAnsi="宋体" w:eastAsia="宋体"/>
          <w:b w:val="0"/>
          <w:sz w:val="24"/>
        </w:rPr>
        <w:t>综合 M1 与 M2，</w:t>
      </w:r>
      <w:r>
        <w:rPr>
          <w:rFonts w:ascii="宋体" w:hAnsi="宋体" w:eastAsia="宋体"/>
          <w:b/>
          <w:sz w:val="24"/>
        </w:rPr>
        <w:t>H3 未获支持</w:t>
      </w:r>
      <w:r>
        <w:rPr>
          <w:rFonts w:ascii="宋体" w:hAnsi="宋体" w:eastAsia="宋体"/>
          <w:b w:val="0"/>
          <w:sz w:val="24"/>
        </w:rPr>
        <w:t>。本文认为这一结果本身是有价值的：它提示策略性语调假说在中国的 MD&amp;A 语境下可能不如在英文披露环境中那样明显，或者其识别需要比"横截面偏离度"与"杠杆分组"更精细的操纵性代理变量。另一方面，两项交互项的系数均为正（虽然不显著），隐含"高杠杆公司、语调偏高公司的语调预测力反而更强"这一与直觉相反的可能，但由于统计上无法拒绝零假设，本文不做实质性解读，仅作为后续研究的方向记录下来。</w:t>
      </w:r>
    </w:p>
    <w:p>
      <w:pPr>
        <w:spacing w:before="200" w:after="160"/>
      </w:pPr>
      <w:r>
        <w:rPr>
          <w:rFonts w:ascii="黑体" w:hAnsi="黑体" w:eastAsia="黑体"/>
          <w:b/>
          <w:sz w:val="25"/>
        </w:rPr>
        <w:t>5.6 稳健性检验</w:t>
      </w:r>
    </w:p>
    <w:p>
      <w:pPr>
        <w:spacing w:after="120" w:line="360" w:lineRule="auto"/>
        <w:ind w:firstLine="480"/>
      </w:pPr>
      <w:r>
        <w:rPr>
          <w:rFonts w:ascii="宋体" w:hAnsi="宋体" w:eastAsia="宋体"/>
          <w:b/>
          <w:sz w:val="24"/>
        </w:rPr>
        <w:t>表 8</w:t>
      </w:r>
      <w:r>
        <w:rPr>
          <w:rFonts w:ascii="宋体" w:hAnsi="宋体" w:eastAsia="宋体"/>
          <w:b w:val="0"/>
          <w:sz w:val="24"/>
        </w:rPr>
        <w:t xml:space="preserve"> 报告五组稳健性检验的结果。设定 A 为年度固定效应 + 控制变量（模型 2），设定 B 为设定 A 加当期 ROA（模型 3）。</w:t>
      </w:r>
    </w:p>
    <w:p>
      <w:pPr>
        <w:spacing w:after="120" w:line="360" w:lineRule="auto"/>
        <w:ind w:firstLine="480"/>
      </w:pPr>
      <w:r>
        <w:rPr>
          <w:rFonts w:ascii="宋体" w:hAnsi="宋体" w:eastAsia="宋体"/>
          <w:b/>
          <w:sz w:val="24"/>
        </w:rPr>
        <w:t>表 8  稳健性检验结果</w:t>
      </w:r>
      <w:r>
        <w:rPr>
          <w:rFonts w:ascii="宋体" w:hAnsi="宋体" w:eastAsia="宋体"/>
          <w:b w:val="0"/>
          <w:sz w:val="24"/>
        </w:rPr>
        <w:t xml:space="preserve">（对应文件 </w:t>
      </w:r>
      <w:r>
        <w:rPr>
          <w:rFonts w:ascii="Consolas" w:hAnsi="Consolas" w:eastAsia="Consolas"/>
          <w:b w:val="0"/>
          <w:sz w:val="22"/>
        </w:rPr>
        <w:t>output/tables/tab6_robustness.csv</w:t>
      </w:r>
      <w:r>
        <w:rPr>
          <w:rFonts w:ascii="宋体" w:hAnsi="宋体" w:eastAsia="宋体"/>
          <w:b w:val="0"/>
          <w:sz w:val="24"/>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宋体" w:hAnsi="宋体" w:eastAsia="宋体"/>
                <w:b/>
                <w:sz w:val="21"/>
              </w:rPr>
              <w:t>检验</w:t>
            </w:r>
          </w:p>
        </w:tc>
        <w:tc>
          <w:tcPr>
            <w:tcW w:type="dxa" w:w="1440"/>
          </w:tcPr>
          <w:p>
            <w:pPr>
              <w:jc w:val="center"/>
            </w:pPr>
            <w:r/>
            <w:r>
              <w:rPr>
                <w:rFonts w:ascii="宋体" w:hAnsi="宋体" w:eastAsia="宋体"/>
                <w:b/>
                <w:sz w:val="21"/>
              </w:rPr>
              <w:t>设定 A 系数</w:t>
            </w:r>
          </w:p>
        </w:tc>
        <w:tc>
          <w:tcPr>
            <w:tcW w:type="dxa" w:w="1440"/>
          </w:tcPr>
          <w:p>
            <w:pPr>
              <w:jc w:val="center"/>
            </w:pPr>
            <w:r/>
            <w:r>
              <w:rPr>
                <w:rFonts w:ascii="宋体" w:hAnsi="宋体" w:eastAsia="宋体"/>
                <w:b/>
                <w:sz w:val="21"/>
              </w:rPr>
              <w:t>设定 A t 值</w:t>
            </w:r>
          </w:p>
        </w:tc>
        <w:tc>
          <w:tcPr>
            <w:tcW w:type="dxa" w:w="1440"/>
          </w:tcPr>
          <w:p>
            <w:pPr>
              <w:jc w:val="center"/>
            </w:pPr>
            <w:r/>
            <w:r>
              <w:rPr>
                <w:rFonts w:ascii="宋体" w:hAnsi="宋体" w:eastAsia="宋体"/>
                <w:b/>
                <w:sz w:val="21"/>
              </w:rPr>
              <w:t>设定 B 系数</w:t>
            </w:r>
          </w:p>
        </w:tc>
        <w:tc>
          <w:tcPr>
            <w:tcW w:type="dxa" w:w="1440"/>
          </w:tcPr>
          <w:p>
            <w:pPr>
              <w:jc w:val="center"/>
            </w:pPr>
            <w:r/>
            <w:r>
              <w:rPr>
                <w:rFonts w:ascii="宋体" w:hAnsi="宋体" w:eastAsia="宋体"/>
                <w:b/>
                <w:sz w:val="21"/>
              </w:rPr>
              <w:t>设定 B t 值</w:t>
            </w:r>
          </w:p>
        </w:tc>
        <w:tc>
          <w:tcPr>
            <w:tcW w:type="dxa" w:w="1440"/>
          </w:tcPr>
          <w:p>
            <w:pPr>
              <w:jc w:val="center"/>
            </w:pPr>
            <w:r/>
            <w:r>
              <w:rPr>
                <w:rFonts w:ascii="宋体" w:hAnsi="宋体" w:eastAsia="宋体"/>
                <w:b/>
                <w:sz w:val="21"/>
              </w:rPr>
              <w:t>N</w:t>
            </w:r>
          </w:p>
        </w:tc>
      </w:tr>
      <w:tr>
        <w:tc>
          <w:tcPr>
            <w:tcW w:type="dxa" w:w="1440"/>
          </w:tcPr>
          <w:p>
            <w:r/>
            <w:r>
              <w:rPr>
                <w:rFonts w:ascii="宋体" w:hAnsi="宋体" w:eastAsia="宋体"/>
                <w:b w:val="0"/>
                <w:sz w:val="21"/>
              </w:rPr>
              <w:t>基准（词典法语调）</w:t>
            </w:r>
          </w:p>
        </w:tc>
        <w:tc>
          <w:tcPr>
            <w:tcW w:type="dxa" w:w="1440"/>
          </w:tcPr>
          <w:p>
            <w:r/>
            <w:r>
              <w:rPr>
                <w:rFonts w:ascii="宋体" w:hAnsi="宋体" w:eastAsia="宋体"/>
                <w:b w:val="0"/>
                <w:sz w:val="21"/>
              </w:rPr>
              <w:t>1.124</w:t>
            </w:r>
          </w:p>
        </w:tc>
        <w:tc>
          <w:tcPr>
            <w:tcW w:type="dxa" w:w="1440"/>
          </w:tcPr>
          <w:p>
            <w:r/>
            <w:r>
              <w:rPr>
                <w:rFonts w:ascii="宋体" w:hAnsi="宋体" w:eastAsia="宋体"/>
                <w:b w:val="0"/>
                <w:sz w:val="21"/>
              </w:rPr>
              <w:t>2.41</w:t>
            </w:r>
          </w:p>
        </w:tc>
        <w:tc>
          <w:tcPr>
            <w:tcW w:type="dxa" w:w="1440"/>
          </w:tcPr>
          <w:p>
            <w:r/>
            <w:r>
              <w:rPr>
                <w:rFonts w:ascii="宋体" w:hAnsi="宋体" w:eastAsia="宋体"/>
                <w:b w:val="0"/>
                <w:sz w:val="21"/>
              </w:rPr>
              <w:t>0.451</w:t>
            </w:r>
          </w:p>
        </w:tc>
        <w:tc>
          <w:tcPr>
            <w:tcW w:type="dxa" w:w="1440"/>
          </w:tcPr>
          <w:p>
            <w:r/>
            <w:r>
              <w:rPr>
                <w:rFonts w:ascii="宋体" w:hAnsi="宋体" w:eastAsia="宋体"/>
                <w:b w:val="0"/>
                <w:sz w:val="21"/>
              </w:rPr>
              <w:t>1.82</w:t>
            </w:r>
          </w:p>
        </w:tc>
        <w:tc>
          <w:tcPr>
            <w:tcW w:type="dxa" w:w="1440"/>
          </w:tcPr>
          <w:p>
            <w:r/>
            <w:r>
              <w:rPr>
                <w:rFonts w:ascii="宋体" w:hAnsi="宋体" w:eastAsia="宋体"/>
                <w:b w:val="0"/>
                <w:sz w:val="21"/>
              </w:rPr>
              <w:t>112</w:t>
            </w:r>
          </w:p>
        </w:tc>
      </w:tr>
      <w:tr>
        <w:tc>
          <w:tcPr>
            <w:tcW w:type="dxa" w:w="1440"/>
          </w:tcPr>
          <w:p>
            <w:r/>
            <w:r>
              <w:rPr>
                <w:rFonts w:ascii="宋体" w:hAnsi="宋体" w:eastAsia="宋体"/>
                <w:b w:val="0"/>
                <w:sz w:val="21"/>
              </w:rPr>
              <w:t>R1 替代测度（机器学习语调）</w:t>
            </w:r>
          </w:p>
        </w:tc>
        <w:tc>
          <w:tcPr>
            <w:tcW w:type="dxa" w:w="1440"/>
          </w:tcPr>
          <w:p>
            <w:r/>
            <w:r>
              <w:rPr>
                <w:rFonts w:ascii="宋体" w:hAnsi="宋体" w:eastAsia="宋体"/>
                <w:b w:val="0"/>
                <w:sz w:val="21"/>
              </w:rPr>
              <w:t>0.203</w:t>
            </w:r>
          </w:p>
        </w:tc>
        <w:tc>
          <w:tcPr>
            <w:tcW w:type="dxa" w:w="1440"/>
          </w:tcPr>
          <w:p>
            <w:r/>
            <w:r>
              <w:rPr>
                <w:rFonts w:ascii="宋体" w:hAnsi="宋体" w:eastAsia="宋体"/>
                <w:b w:val="0"/>
                <w:sz w:val="21"/>
              </w:rPr>
              <w:t>3.64</w:t>
            </w:r>
          </w:p>
        </w:tc>
        <w:tc>
          <w:tcPr>
            <w:tcW w:type="dxa" w:w="1440"/>
          </w:tcPr>
          <w:p>
            <w:r/>
            <w:r>
              <w:rPr>
                <w:rFonts w:ascii="宋体" w:hAnsi="宋体" w:eastAsia="宋体"/>
                <w:b w:val="0"/>
                <w:sz w:val="21"/>
              </w:rPr>
              <w:t>0.093</w:t>
            </w:r>
          </w:p>
        </w:tc>
        <w:tc>
          <w:tcPr>
            <w:tcW w:type="dxa" w:w="1440"/>
          </w:tcPr>
          <w:p>
            <w:r/>
            <w:r>
              <w:rPr>
                <w:rFonts w:ascii="宋体" w:hAnsi="宋体" w:eastAsia="宋体"/>
                <w:b w:val="0"/>
                <w:sz w:val="21"/>
              </w:rPr>
              <w:t>2.28</w:t>
            </w:r>
          </w:p>
        </w:tc>
        <w:tc>
          <w:tcPr>
            <w:tcW w:type="dxa" w:w="1440"/>
          </w:tcPr>
          <w:p>
            <w:r/>
            <w:r>
              <w:rPr>
                <w:rFonts w:ascii="宋体" w:hAnsi="宋体" w:eastAsia="宋体"/>
                <w:b w:val="0"/>
                <w:sz w:val="21"/>
              </w:rPr>
              <w:t>112</w:t>
            </w:r>
          </w:p>
        </w:tc>
      </w:tr>
      <w:tr>
        <w:tc>
          <w:tcPr>
            <w:tcW w:type="dxa" w:w="1440"/>
          </w:tcPr>
          <w:p>
            <w:r/>
            <w:r>
              <w:rPr>
                <w:rFonts w:ascii="宋体" w:hAnsi="宋体" w:eastAsia="宋体"/>
                <w:b w:val="0"/>
                <w:sz w:val="21"/>
              </w:rPr>
              <w:t>R2 替代业绩（ROE_{t+1}）</w:t>
            </w:r>
          </w:p>
        </w:tc>
        <w:tc>
          <w:tcPr>
            <w:tcW w:type="dxa" w:w="1440"/>
          </w:tcPr>
          <w:p>
            <w:r/>
            <w:r>
              <w:rPr>
                <w:rFonts w:ascii="宋体" w:hAnsi="宋体" w:eastAsia="宋体"/>
                <w:b w:val="0"/>
                <w:sz w:val="21"/>
              </w:rPr>
              <w:t>2.121</w:t>
            </w:r>
          </w:p>
        </w:tc>
        <w:tc>
          <w:tcPr>
            <w:tcW w:type="dxa" w:w="1440"/>
          </w:tcPr>
          <w:p>
            <w:r/>
            <w:r>
              <w:rPr>
                <w:rFonts w:ascii="宋体" w:hAnsi="宋体" w:eastAsia="宋体"/>
                <w:b w:val="0"/>
                <w:sz w:val="21"/>
              </w:rPr>
              <w:t>2.88</w:t>
            </w:r>
          </w:p>
        </w:tc>
        <w:tc>
          <w:tcPr>
            <w:tcW w:type="dxa" w:w="1440"/>
          </w:tcPr>
          <w:p>
            <w:r/>
            <w:r>
              <w:rPr>
                <w:rFonts w:ascii="宋体" w:hAnsi="宋体" w:eastAsia="宋体"/>
                <w:b w:val="0"/>
                <w:sz w:val="21"/>
              </w:rPr>
              <w:t>1.087</w:t>
            </w:r>
          </w:p>
        </w:tc>
        <w:tc>
          <w:tcPr>
            <w:tcW w:type="dxa" w:w="1440"/>
          </w:tcPr>
          <w:p>
            <w:r/>
            <w:r>
              <w:rPr>
                <w:rFonts w:ascii="宋体" w:hAnsi="宋体" w:eastAsia="宋体"/>
                <w:b w:val="0"/>
                <w:sz w:val="21"/>
              </w:rPr>
              <w:t>1.66</w:t>
            </w:r>
          </w:p>
        </w:tc>
        <w:tc>
          <w:tcPr>
            <w:tcW w:type="dxa" w:w="1440"/>
          </w:tcPr>
          <w:p>
            <w:r/>
            <w:r>
              <w:rPr>
                <w:rFonts w:ascii="宋体" w:hAnsi="宋体" w:eastAsia="宋体"/>
                <w:b w:val="0"/>
                <w:sz w:val="21"/>
              </w:rPr>
              <w:t>112</w:t>
            </w:r>
          </w:p>
        </w:tc>
      </w:tr>
      <w:tr>
        <w:tc>
          <w:tcPr>
            <w:tcW w:type="dxa" w:w="1440"/>
          </w:tcPr>
          <w:p>
            <w:r/>
            <w:r>
              <w:rPr>
                <w:rFonts w:ascii="宋体" w:hAnsi="宋体" w:eastAsia="宋体"/>
                <w:b w:val="0"/>
                <w:sz w:val="21"/>
              </w:rPr>
              <w:t>R3 剔除 2022 年</w:t>
            </w:r>
          </w:p>
        </w:tc>
        <w:tc>
          <w:tcPr>
            <w:tcW w:type="dxa" w:w="1440"/>
          </w:tcPr>
          <w:p>
            <w:r/>
            <w:r>
              <w:rPr>
                <w:rFonts w:ascii="宋体" w:hAnsi="宋体" w:eastAsia="宋体"/>
                <w:b w:val="0"/>
                <w:sz w:val="21"/>
              </w:rPr>
              <w:t>0.605</w:t>
            </w:r>
          </w:p>
        </w:tc>
        <w:tc>
          <w:tcPr>
            <w:tcW w:type="dxa" w:w="1440"/>
          </w:tcPr>
          <w:p>
            <w:r/>
            <w:r>
              <w:rPr>
                <w:rFonts w:ascii="宋体" w:hAnsi="宋体" w:eastAsia="宋体"/>
                <w:b w:val="0"/>
                <w:sz w:val="21"/>
              </w:rPr>
              <w:t>1.23</w:t>
            </w:r>
          </w:p>
        </w:tc>
        <w:tc>
          <w:tcPr>
            <w:tcW w:type="dxa" w:w="1440"/>
          </w:tcPr>
          <w:p>
            <w:r/>
            <w:r>
              <w:rPr>
                <w:rFonts w:ascii="宋体" w:hAnsi="宋体" w:eastAsia="宋体"/>
                <w:b w:val="0"/>
                <w:sz w:val="21"/>
              </w:rPr>
              <w:t>0.021</w:t>
            </w:r>
          </w:p>
        </w:tc>
        <w:tc>
          <w:tcPr>
            <w:tcW w:type="dxa" w:w="1440"/>
          </w:tcPr>
          <w:p>
            <w:r/>
            <w:r>
              <w:rPr>
                <w:rFonts w:ascii="宋体" w:hAnsi="宋体" w:eastAsia="宋体"/>
                <w:b w:val="0"/>
                <w:sz w:val="21"/>
              </w:rPr>
              <w:t>0.13</w:t>
            </w:r>
          </w:p>
        </w:tc>
        <w:tc>
          <w:tcPr>
            <w:tcW w:type="dxa" w:w="1440"/>
          </w:tcPr>
          <w:p>
            <w:r/>
            <w:r>
              <w:rPr>
                <w:rFonts w:ascii="宋体" w:hAnsi="宋体" w:eastAsia="宋体"/>
                <w:b w:val="0"/>
                <w:sz w:val="21"/>
              </w:rPr>
              <w:t>74</w:t>
            </w:r>
          </w:p>
        </w:tc>
      </w:tr>
      <w:tr>
        <w:tc>
          <w:tcPr>
            <w:tcW w:type="dxa" w:w="1440"/>
          </w:tcPr>
          <w:p>
            <w:r/>
            <w:r>
              <w:rPr>
                <w:rFonts w:ascii="宋体" w:hAnsi="宋体" w:eastAsia="宋体"/>
                <w:b w:val="0"/>
                <w:sz w:val="21"/>
              </w:rPr>
              <w:t>R3 剔除 2023 年</w:t>
            </w:r>
          </w:p>
        </w:tc>
        <w:tc>
          <w:tcPr>
            <w:tcW w:type="dxa" w:w="1440"/>
          </w:tcPr>
          <w:p>
            <w:r/>
            <w:r>
              <w:rPr>
                <w:rFonts w:ascii="宋体" w:hAnsi="宋体" w:eastAsia="宋体"/>
                <w:b w:val="0"/>
                <w:sz w:val="21"/>
              </w:rPr>
              <w:t>1.304</w:t>
            </w:r>
          </w:p>
        </w:tc>
        <w:tc>
          <w:tcPr>
            <w:tcW w:type="dxa" w:w="1440"/>
          </w:tcPr>
          <w:p>
            <w:r/>
            <w:r>
              <w:rPr>
                <w:rFonts w:ascii="宋体" w:hAnsi="宋体" w:eastAsia="宋体"/>
                <w:b w:val="0"/>
                <w:sz w:val="21"/>
              </w:rPr>
              <w:t>2.54</w:t>
            </w:r>
          </w:p>
        </w:tc>
        <w:tc>
          <w:tcPr>
            <w:tcW w:type="dxa" w:w="1440"/>
          </w:tcPr>
          <w:p>
            <w:r/>
            <w:r>
              <w:rPr>
                <w:rFonts w:ascii="宋体" w:hAnsi="宋体" w:eastAsia="宋体"/>
                <w:b w:val="0"/>
                <w:sz w:val="21"/>
              </w:rPr>
              <w:t>0.601</w:t>
            </w:r>
          </w:p>
        </w:tc>
        <w:tc>
          <w:tcPr>
            <w:tcW w:type="dxa" w:w="1440"/>
          </w:tcPr>
          <w:p>
            <w:r/>
            <w:r>
              <w:rPr>
                <w:rFonts w:ascii="宋体" w:hAnsi="宋体" w:eastAsia="宋体"/>
                <w:b w:val="0"/>
                <w:sz w:val="21"/>
              </w:rPr>
              <w:t>2.23</w:t>
            </w:r>
          </w:p>
        </w:tc>
        <w:tc>
          <w:tcPr>
            <w:tcW w:type="dxa" w:w="1440"/>
          </w:tcPr>
          <w:p>
            <w:r/>
            <w:r>
              <w:rPr>
                <w:rFonts w:ascii="宋体" w:hAnsi="宋体" w:eastAsia="宋体"/>
                <w:b w:val="0"/>
                <w:sz w:val="21"/>
              </w:rPr>
              <w:t>74</w:t>
            </w:r>
          </w:p>
        </w:tc>
      </w:tr>
      <w:tr>
        <w:tc>
          <w:tcPr>
            <w:tcW w:type="dxa" w:w="1440"/>
          </w:tcPr>
          <w:p>
            <w:r/>
            <w:r>
              <w:rPr>
                <w:rFonts w:ascii="宋体" w:hAnsi="宋体" w:eastAsia="宋体"/>
                <w:b w:val="0"/>
                <w:sz w:val="21"/>
              </w:rPr>
              <w:t>R3 剔除 2024 年</w:t>
            </w:r>
          </w:p>
        </w:tc>
        <w:tc>
          <w:tcPr>
            <w:tcW w:type="dxa" w:w="1440"/>
          </w:tcPr>
          <w:p>
            <w:r/>
            <w:r>
              <w:rPr>
                <w:rFonts w:ascii="宋体" w:hAnsi="宋体" w:eastAsia="宋体"/>
                <w:b w:val="0"/>
                <w:sz w:val="21"/>
              </w:rPr>
              <w:t>1.364</w:t>
            </w:r>
          </w:p>
        </w:tc>
        <w:tc>
          <w:tcPr>
            <w:tcW w:type="dxa" w:w="1440"/>
          </w:tcPr>
          <w:p>
            <w:r/>
            <w:r>
              <w:rPr>
                <w:rFonts w:ascii="宋体" w:hAnsi="宋体" w:eastAsia="宋体"/>
                <w:b w:val="0"/>
                <w:sz w:val="21"/>
              </w:rPr>
              <w:t>2.99</w:t>
            </w:r>
          </w:p>
        </w:tc>
        <w:tc>
          <w:tcPr>
            <w:tcW w:type="dxa" w:w="1440"/>
          </w:tcPr>
          <w:p>
            <w:r/>
            <w:r>
              <w:rPr>
                <w:rFonts w:ascii="宋体" w:hAnsi="宋体" w:eastAsia="宋体"/>
                <w:b w:val="0"/>
                <w:sz w:val="21"/>
              </w:rPr>
              <w:t>0.629</w:t>
            </w:r>
          </w:p>
        </w:tc>
        <w:tc>
          <w:tcPr>
            <w:tcW w:type="dxa" w:w="1440"/>
          </w:tcPr>
          <w:p>
            <w:r/>
            <w:r>
              <w:rPr>
                <w:rFonts w:ascii="宋体" w:hAnsi="宋体" w:eastAsia="宋体"/>
                <w:b w:val="0"/>
                <w:sz w:val="21"/>
              </w:rPr>
              <w:t>2.07</w:t>
            </w:r>
          </w:p>
        </w:tc>
        <w:tc>
          <w:tcPr>
            <w:tcW w:type="dxa" w:w="1440"/>
          </w:tcPr>
          <w:p>
            <w:r/>
            <w:r>
              <w:rPr>
                <w:rFonts w:ascii="宋体" w:hAnsi="宋体" w:eastAsia="宋体"/>
                <w:b w:val="0"/>
                <w:sz w:val="21"/>
              </w:rPr>
              <w:t>76</w:t>
            </w:r>
          </w:p>
        </w:tc>
      </w:tr>
      <w:tr>
        <w:tc>
          <w:tcPr>
            <w:tcW w:type="dxa" w:w="1440"/>
          </w:tcPr>
          <w:p>
            <w:r/>
            <w:r>
              <w:rPr>
                <w:rFonts w:ascii="宋体" w:hAnsi="宋体" w:eastAsia="宋体"/>
                <w:b w:val="0"/>
                <w:sz w:val="21"/>
              </w:rPr>
              <w:t>R4a 分半语调（奇数句）</w:t>
            </w:r>
          </w:p>
        </w:tc>
        <w:tc>
          <w:tcPr>
            <w:tcW w:type="dxa" w:w="1440"/>
          </w:tcPr>
          <w:p>
            <w:r/>
            <w:r>
              <w:rPr>
                <w:rFonts w:ascii="宋体" w:hAnsi="宋体" w:eastAsia="宋体"/>
                <w:b w:val="0"/>
                <w:sz w:val="21"/>
              </w:rPr>
              <w:t>0.918</w:t>
            </w:r>
          </w:p>
        </w:tc>
        <w:tc>
          <w:tcPr>
            <w:tcW w:type="dxa" w:w="1440"/>
          </w:tcPr>
          <w:p>
            <w:r/>
            <w:r>
              <w:rPr>
                <w:rFonts w:ascii="宋体" w:hAnsi="宋体" w:eastAsia="宋体"/>
                <w:b w:val="0"/>
                <w:sz w:val="21"/>
              </w:rPr>
              <w:t>1.96</w:t>
            </w:r>
          </w:p>
        </w:tc>
        <w:tc>
          <w:tcPr>
            <w:tcW w:type="dxa" w:w="1440"/>
          </w:tcPr>
          <w:p>
            <w:r/>
            <w:r>
              <w:rPr>
                <w:rFonts w:ascii="宋体" w:hAnsi="宋体" w:eastAsia="宋体"/>
                <w:b w:val="0"/>
                <w:sz w:val="21"/>
              </w:rPr>
              <w:t>0.397</w:t>
            </w:r>
          </w:p>
        </w:tc>
        <w:tc>
          <w:tcPr>
            <w:tcW w:type="dxa" w:w="1440"/>
          </w:tcPr>
          <w:p>
            <w:r/>
            <w:r>
              <w:rPr>
                <w:rFonts w:ascii="宋体" w:hAnsi="宋体" w:eastAsia="宋体"/>
                <w:b w:val="0"/>
                <w:sz w:val="21"/>
              </w:rPr>
              <w:t>1.55</w:t>
            </w:r>
          </w:p>
        </w:tc>
        <w:tc>
          <w:tcPr>
            <w:tcW w:type="dxa" w:w="1440"/>
          </w:tcPr>
          <w:p>
            <w:r/>
            <w:r>
              <w:rPr>
                <w:rFonts w:ascii="宋体" w:hAnsi="宋体" w:eastAsia="宋体"/>
                <w:b w:val="0"/>
                <w:sz w:val="21"/>
              </w:rPr>
              <w:t>112</w:t>
            </w:r>
          </w:p>
        </w:tc>
      </w:tr>
      <w:tr>
        <w:tc>
          <w:tcPr>
            <w:tcW w:type="dxa" w:w="1440"/>
          </w:tcPr>
          <w:p>
            <w:r/>
            <w:r>
              <w:rPr>
                <w:rFonts w:ascii="宋体" w:hAnsi="宋体" w:eastAsia="宋体"/>
                <w:b w:val="0"/>
                <w:sz w:val="21"/>
              </w:rPr>
              <w:t>R4b 分半语调（偶数句）</w:t>
            </w:r>
          </w:p>
        </w:tc>
        <w:tc>
          <w:tcPr>
            <w:tcW w:type="dxa" w:w="1440"/>
          </w:tcPr>
          <w:p>
            <w:r/>
            <w:r>
              <w:rPr>
                <w:rFonts w:ascii="宋体" w:hAnsi="宋体" w:eastAsia="宋体"/>
                <w:b w:val="0"/>
                <w:sz w:val="21"/>
              </w:rPr>
              <w:t>0.865</w:t>
            </w:r>
          </w:p>
        </w:tc>
        <w:tc>
          <w:tcPr>
            <w:tcW w:type="dxa" w:w="1440"/>
          </w:tcPr>
          <w:p>
            <w:r/>
            <w:r>
              <w:rPr>
                <w:rFonts w:ascii="宋体" w:hAnsi="宋体" w:eastAsia="宋体"/>
                <w:b w:val="0"/>
                <w:sz w:val="21"/>
              </w:rPr>
              <w:t>1.88</w:t>
            </w:r>
          </w:p>
        </w:tc>
        <w:tc>
          <w:tcPr>
            <w:tcW w:type="dxa" w:w="1440"/>
          </w:tcPr>
          <w:p>
            <w:r/>
            <w:r>
              <w:rPr>
                <w:rFonts w:ascii="宋体" w:hAnsi="宋体" w:eastAsia="宋体"/>
                <w:b w:val="0"/>
                <w:sz w:val="21"/>
              </w:rPr>
              <w:t>0.282</w:t>
            </w:r>
          </w:p>
        </w:tc>
        <w:tc>
          <w:tcPr>
            <w:tcW w:type="dxa" w:w="1440"/>
          </w:tcPr>
          <w:p>
            <w:r/>
            <w:r>
              <w:rPr>
                <w:rFonts w:ascii="宋体" w:hAnsi="宋体" w:eastAsia="宋体"/>
                <w:b w:val="0"/>
                <w:sz w:val="21"/>
              </w:rPr>
              <w:t>1.37</w:t>
            </w:r>
          </w:p>
        </w:tc>
        <w:tc>
          <w:tcPr>
            <w:tcW w:type="dxa" w:w="1440"/>
          </w:tcPr>
          <w:p>
            <w:r/>
            <w:r>
              <w:rPr>
                <w:rFonts w:ascii="宋体" w:hAnsi="宋体" w:eastAsia="宋体"/>
                <w:b w:val="0"/>
                <w:sz w:val="21"/>
              </w:rPr>
              <w:t>112</w:t>
            </w:r>
          </w:p>
        </w:tc>
      </w:tr>
    </w:tbl>
    <w:p>
      <w:pPr>
        <w:spacing w:after="120" w:line="360" w:lineRule="auto"/>
        <w:ind w:firstLine="480"/>
      </w:pPr>
      <w:r>
        <w:rPr>
          <w:rFonts w:ascii="宋体" w:hAnsi="宋体" w:eastAsia="宋体"/>
          <w:b/>
          <w:sz w:val="24"/>
        </w:rPr>
        <w:t>R1 替代测度。</w:t>
      </w:r>
      <w:r>
        <w:rPr>
          <w:rFonts w:ascii="宋体" w:hAnsi="宋体" w:eastAsia="宋体"/>
          <w:b w:val="0"/>
          <w:sz w:val="24"/>
        </w:rPr>
        <w:t xml:space="preserve"> 以 TONE_ml 替换 TONE_dict 后，设定 A 下系数为 0.203（t=3.64）、设定 B 下为 0.093（t=2.28），</w:t>
      </w:r>
      <w:r>
        <w:rPr>
          <w:rFonts w:ascii="宋体" w:hAnsi="宋体" w:eastAsia="宋体"/>
          <w:b/>
          <w:sz w:val="24"/>
        </w:rPr>
        <w:t>两个设定下均在 5% 水平显著</w:t>
      </w:r>
      <w:r>
        <w:rPr>
          <w:rFonts w:ascii="宋体" w:hAnsi="宋体" w:eastAsia="宋体"/>
          <w:b w:val="0"/>
          <w:sz w:val="24"/>
        </w:rPr>
        <w:t>。系数量级明显小于词典法（0.203 对 1.124），这是因为 TONE_ml 是概率口径，其取值集中在 50% 附近、标准差为 7.9 个百分点，与词典法语调的尺度不可直接比较。</w:t>
      </w:r>
      <w:r>
        <w:rPr>
          <w:rFonts w:ascii="宋体" w:hAnsi="宋体" w:eastAsia="宋体"/>
          <w:b/>
          <w:sz w:val="24"/>
        </w:rPr>
        <w:t>关键结论是统计显著的结论在两种完全不同原理的测度下保持一致</w:t>
      </w:r>
      <w:r>
        <w:rPr>
          <w:rFonts w:ascii="宋体" w:hAnsi="宋体" w:eastAsia="宋体"/>
          <w:b w:val="0"/>
          <w:sz w:val="24"/>
        </w:rPr>
        <w:t>，说明本文的 H1/H2 发现不是词典法口径的特有产物。这同时也是一份额外的聚合效度证据：两个测度不仅在水平上相关（0.5432），在回归中的表现方向也一致。</w:t>
      </w:r>
    </w:p>
    <w:p>
      <w:pPr>
        <w:spacing w:after="120" w:line="360" w:lineRule="auto"/>
        <w:ind w:firstLine="480"/>
      </w:pPr>
      <w:r>
        <w:rPr>
          <w:rFonts w:ascii="宋体" w:hAnsi="宋体" w:eastAsia="宋体"/>
          <w:b/>
          <w:sz w:val="24"/>
        </w:rPr>
        <w:t>R2 替代业绩指标。</w:t>
      </w:r>
      <w:r>
        <w:rPr>
          <w:rFonts w:ascii="宋体" w:hAnsi="宋体" w:eastAsia="宋体"/>
          <w:b w:val="0"/>
          <w:sz w:val="24"/>
        </w:rPr>
        <w:t xml:space="preserve"> 以 ROE_{t+1} 为被解释变量时，设定 A 系数 2.121（t=2.88，1% 水平显著）、设定 B 系数 1.087（t=1.66，10% 水平边际显著）。</w:t>
      </w:r>
      <w:r>
        <w:rPr>
          <w:rFonts w:ascii="宋体" w:hAnsi="宋体" w:eastAsia="宋体"/>
          <w:b/>
          <w:sz w:val="24"/>
        </w:rPr>
        <w:t>系数符号与显著性模式与以 ROA 为被解释变量时高度一致</w:t>
      </w:r>
      <w:r>
        <w:rPr>
          <w:rFonts w:ascii="宋体" w:hAnsi="宋体" w:eastAsia="宋体"/>
          <w:b w:val="0"/>
          <w:sz w:val="24"/>
        </w:rPr>
        <w:t>，说明语调的预测力不依赖于特定的业绩口径。系数绝对值更大（2.121 对 1.124）反映 ROE 比 ROA 波动更大，属口径差异而非效应强度差异。</w:t>
      </w:r>
    </w:p>
    <w:p>
      <w:pPr>
        <w:spacing w:after="120" w:line="360" w:lineRule="auto"/>
        <w:ind w:firstLine="480"/>
      </w:pPr>
      <w:r>
        <w:rPr>
          <w:rFonts w:ascii="宋体" w:hAnsi="宋体" w:eastAsia="宋体"/>
          <w:b/>
          <w:sz w:val="24"/>
        </w:rPr>
        <w:t>R3 逐年剔除。</w:t>
      </w:r>
      <w:r>
        <w:rPr>
          <w:rFonts w:ascii="宋体" w:hAnsi="宋体" w:eastAsia="宋体"/>
          <w:b w:val="0"/>
          <w:sz w:val="24"/>
        </w:rPr>
        <w:t xml:space="preserve"> 剔除 2023 年（设定 A 系数 1.304，t=2.54；设定 B 系数 0.601，t=2.23）与剔除 2024 年（1.364，t=2.99；0.629，t=2.07）时结果均维持显著，说明结论并非由这后两个年度单独驱动。</w:t>
      </w:r>
      <w:r>
        <w:rPr>
          <w:rFonts w:ascii="宋体" w:hAnsi="宋体" w:eastAsia="宋体"/>
          <w:b/>
          <w:sz w:val="24"/>
        </w:rPr>
        <w:t>但剔除 2022 年后结果失去显著性</w:t>
      </w:r>
      <w:r>
        <w:rPr>
          <w:rFonts w:ascii="宋体" w:hAnsi="宋体" w:eastAsia="宋体"/>
          <w:b w:val="0"/>
          <w:sz w:val="24"/>
        </w:rPr>
        <w:t>（设定 A 系数降至 0.605，t=1.23；设定 B 系数降至 0.021，t=0.13）。这一发现需要认真对待：在 2022—2024 三个年度中，2022 年的数据对语调的预测力贡献最大。可能的解释是 2022 年的宏观环境（需求收缩、供应链扰动）造成了更大的业绩分化，从而使语调中前瞻性信息的信号强度更高；而在业绩趋同的年份，语调与未来业绩的关系更容易被噪声淹没。这一发现提示本文结论对样本年份有一定依赖，是需要在局限部分说明的问题，同时也构成一个有价值的研究线索——</w:t>
      </w:r>
      <w:r>
        <w:rPr>
          <w:rFonts w:ascii="宋体" w:hAnsi="宋体" w:eastAsia="宋体"/>
          <w:b/>
          <w:sz w:val="24"/>
        </w:rPr>
        <w:t>语调的信息含量可能具有"状态依赖性"，在经济不确定性高的时期更高。</w:t>
      </w:r>
    </w:p>
    <w:p>
      <w:pPr>
        <w:spacing w:after="120" w:line="360" w:lineRule="auto"/>
        <w:ind w:firstLine="480"/>
      </w:pPr>
      <w:r>
        <w:rPr>
          <w:rFonts w:ascii="宋体" w:hAnsi="宋体" w:eastAsia="宋体"/>
          <w:b/>
          <w:sz w:val="24"/>
        </w:rPr>
        <w:t>R4 分半语调复核。</w:t>
      </w:r>
      <w:r>
        <w:rPr>
          <w:rFonts w:ascii="宋体" w:hAnsi="宋体" w:eastAsia="宋体"/>
          <w:b w:val="0"/>
          <w:sz w:val="24"/>
        </w:rPr>
        <w:t xml:space="preserve"> 以奇数句语调估计时，设定 A 系数 0.918（t=1.96，5% 显著）、设定 B 系数 0.397（t=1.55）；以偶数句语调估计时，设定 A 系数 0.865（t=1.88，接近 10% 显著）、设定 B 系数 0.282（t=1.37）。两个分半语调的系数都接近但略低于上一小节的全样本系数（1.124 / 0.451），方向完全一致，显著性水平略有下降。这一衰减符合统计学预期：分半语调只使用了约一半的句子，测度噪声更大（分半语调与全样本语调的相关系数分别为 0.946 与 0.967），因此出现"信度衰减导致的系数估计向零收缩"（attenuation bias）。</w:t>
      </w:r>
      <w:r>
        <w:rPr>
          <w:rFonts w:ascii="宋体" w:hAnsi="宋体" w:eastAsia="宋体"/>
          <w:b/>
          <w:sz w:val="24"/>
        </w:rPr>
        <w:t>两个独立子集都能产生方向一致、量级相近的回归结果，说明语调的预测力不是由文档中某部分句子的偶然措辞驱动的</w:t>
      </w:r>
      <w:r>
        <w:rPr>
          <w:rFonts w:ascii="宋体" w:hAnsi="宋体" w:eastAsia="宋体"/>
          <w:b w:val="0"/>
          <w:sz w:val="24"/>
        </w:rPr>
        <w:t>，测度层面的稳健性得到验证。作为补充证据，奇数句语调与偶数句语调之间的相关系数为 0.904，与 5.1 节的分半信度结果一致。</w:t>
      </w:r>
    </w:p>
    <w:p>
      <w:pPr>
        <w:spacing w:after="120" w:line="360" w:lineRule="auto"/>
        <w:ind w:firstLine="480"/>
      </w:pPr>
      <w:r>
        <w:rPr>
          <w:rFonts w:ascii="宋体" w:hAnsi="宋体" w:eastAsia="宋体"/>
          <w:b/>
          <w:sz w:val="24"/>
        </w:rPr>
        <w:t>表 9  安慰剂检验（1000 次随机置换）</w:t>
      </w:r>
      <w:r>
        <w:rPr>
          <w:rFonts w:ascii="宋体" w:hAnsi="宋体" w:eastAsia="宋体"/>
          <w:b w:val="0"/>
          <w:sz w:val="24"/>
        </w:rPr>
        <w:t xml:space="preserve">（对应文件 </w:t>
      </w:r>
      <w:r>
        <w:rPr>
          <w:rFonts w:ascii="Consolas" w:hAnsi="Consolas" w:eastAsia="Consolas"/>
          <w:b w:val="0"/>
          <w:sz w:val="22"/>
        </w:rPr>
        <w:t>output/tables/tab7_placebo.csv</w:t>
      </w:r>
      <w:r>
        <w:rPr>
          <w:rFonts w:ascii="宋体" w:hAnsi="宋体" w:eastAsia="宋体"/>
          <w:b w:val="0"/>
          <w:sz w:val="24"/>
        </w:rPr>
        <w:t>）</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宋体" w:hAnsi="宋体" w:eastAsia="宋体"/>
                <w:b/>
                <w:sz w:val="21"/>
              </w:rPr>
              <w:t>统计量</w:t>
            </w:r>
          </w:p>
        </w:tc>
        <w:tc>
          <w:tcPr>
            <w:tcW w:type="dxa" w:w="4320"/>
          </w:tcPr>
          <w:p>
            <w:pPr>
              <w:jc w:val="center"/>
            </w:pPr>
            <w:r/>
            <w:r>
              <w:rPr>
                <w:rFonts w:ascii="宋体" w:hAnsi="宋体" w:eastAsia="宋体"/>
                <w:b/>
                <w:sz w:val="21"/>
              </w:rPr>
              <w:t>取值</w:t>
            </w:r>
          </w:p>
        </w:tc>
      </w:tr>
      <w:tr>
        <w:tc>
          <w:tcPr>
            <w:tcW w:type="dxa" w:w="4320"/>
          </w:tcPr>
          <w:p>
            <w:r/>
            <w:r>
              <w:rPr>
                <w:rFonts w:ascii="宋体" w:hAnsi="宋体" w:eastAsia="宋体"/>
                <w:b w:val="0"/>
                <w:sz w:val="21"/>
              </w:rPr>
              <w:t>真实系数（设定 B）</w:t>
            </w:r>
          </w:p>
        </w:tc>
        <w:tc>
          <w:tcPr>
            <w:tcW w:type="dxa" w:w="4320"/>
          </w:tcPr>
          <w:p>
            <w:r/>
            <w:r>
              <w:rPr>
                <w:rFonts w:ascii="宋体" w:hAnsi="宋体" w:eastAsia="宋体"/>
                <w:b w:val="0"/>
                <w:sz w:val="21"/>
              </w:rPr>
              <w:t>0.451</w:t>
            </w:r>
          </w:p>
        </w:tc>
      </w:tr>
      <w:tr>
        <w:tc>
          <w:tcPr>
            <w:tcW w:type="dxa" w:w="4320"/>
          </w:tcPr>
          <w:p>
            <w:r/>
            <w:r>
              <w:rPr>
                <w:rFonts w:ascii="宋体" w:hAnsi="宋体" w:eastAsia="宋体"/>
                <w:b w:val="0"/>
                <w:sz w:val="21"/>
              </w:rPr>
              <w:t>真实 t 值（设定 B）</w:t>
            </w:r>
          </w:p>
        </w:tc>
        <w:tc>
          <w:tcPr>
            <w:tcW w:type="dxa" w:w="4320"/>
          </w:tcPr>
          <w:p>
            <w:r/>
            <w:r>
              <w:rPr>
                <w:rFonts w:ascii="宋体" w:hAnsi="宋体" w:eastAsia="宋体"/>
                <w:b w:val="0"/>
                <w:sz w:val="21"/>
              </w:rPr>
              <w:t>1.817</w:t>
            </w:r>
          </w:p>
        </w:tc>
      </w:tr>
      <w:tr>
        <w:tc>
          <w:tcPr>
            <w:tcW w:type="dxa" w:w="4320"/>
          </w:tcPr>
          <w:p>
            <w:r/>
            <w:r>
              <w:rPr>
                <w:rFonts w:ascii="宋体" w:hAnsi="宋体" w:eastAsia="宋体"/>
                <w:b w:val="0"/>
                <w:sz w:val="21"/>
              </w:rPr>
              <w:t>安慰剂系数均值</w:t>
            </w:r>
          </w:p>
        </w:tc>
        <w:tc>
          <w:tcPr>
            <w:tcW w:type="dxa" w:w="4320"/>
          </w:tcPr>
          <w:p>
            <w:r/>
            <w:r>
              <w:rPr>
                <w:rFonts w:ascii="宋体" w:hAnsi="宋体" w:eastAsia="宋体"/>
                <w:b w:val="0"/>
                <w:sz w:val="21"/>
              </w:rPr>
              <w:t>−0.004</w:t>
            </w:r>
          </w:p>
        </w:tc>
      </w:tr>
      <w:tr>
        <w:tc>
          <w:tcPr>
            <w:tcW w:type="dxa" w:w="4320"/>
          </w:tcPr>
          <w:p>
            <w:r/>
            <w:r>
              <w:rPr>
                <w:rFonts w:ascii="宋体" w:hAnsi="宋体" w:eastAsia="宋体"/>
                <w:b w:val="0"/>
                <w:sz w:val="21"/>
              </w:rPr>
              <w:t>安慰剂系数标准差</w:t>
            </w:r>
          </w:p>
        </w:tc>
        <w:tc>
          <w:tcPr>
            <w:tcW w:type="dxa" w:w="4320"/>
          </w:tcPr>
          <w:p>
            <w:r/>
            <w:r>
              <w:rPr>
                <w:rFonts w:ascii="宋体" w:hAnsi="宋体" w:eastAsia="宋体"/>
                <w:b w:val="0"/>
                <w:sz w:val="21"/>
              </w:rPr>
              <w:t>0.184</w:t>
            </w:r>
          </w:p>
        </w:tc>
      </w:tr>
      <w:tr>
        <w:tc>
          <w:tcPr>
            <w:tcW w:type="dxa" w:w="4320"/>
          </w:tcPr>
          <w:p>
            <w:r/>
            <w:r>
              <w:rPr>
                <w:rFonts w:ascii="宋体" w:hAnsi="宋体" w:eastAsia="宋体"/>
                <w:b w:val="0"/>
                <w:sz w:val="21"/>
              </w:rPr>
              <w:t>\</w:t>
            </w:r>
          </w:p>
        </w:tc>
        <w:tc>
          <w:tcPr>
            <w:tcW w:type="dxa" w:w="4320"/>
          </w:tcPr>
          <w:p>
            <w:r/>
            <w:r>
              <w:rPr>
                <w:rFonts w:ascii="宋体" w:hAnsi="宋体" w:eastAsia="宋体"/>
                <w:b w:val="0"/>
                <w:sz w:val="21"/>
              </w:rPr>
              <w:t>安慰剂\</w:t>
            </w:r>
          </w:p>
        </w:tc>
      </w:tr>
      <w:tr>
        <w:tc>
          <w:tcPr>
            <w:tcW w:type="dxa" w:w="4320"/>
          </w:tcPr>
          <w:p>
            <w:r/>
            <w:r>
              <w:rPr>
                <w:rFonts w:ascii="宋体" w:hAnsi="宋体" w:eastAsia="宋体"/>
                <w:b w:val="0"/>
                <w:sz w:val="21"/>
              </w:rPr>
              <w:t>有效置换次数</w:t>
            </w:r>
          </w:p>
        </w:tc>
        <w:tc>
          <w:tcPr>
            <w:tcW w:type="dxa" w:w="4320"/>
          </w:tcPr>
          <w:p>
            <w:r/>
            <w:r>
              <w:rPr>
                <w:rFonts w:ascii="宋体" w:hAnsi="宋体" w:eastAsia="宋体"/>
                <w:b w:val="0"/>
                <w:sz w:val="21"/>
              </w:rPr>
              <w:t>1000</w:t>
            </w:r>
          </w:p>
        </w:tc>
      </w:tr>
    </w:tbl>
    <w:p>
      <w:pPr>
        <w:spacing w:after="120" w:line="360" w:lineRule="auto"/>
        <w:ind w:firstLine="480"/>
      </w:pPr>
      <w:r>
        <w:rPr>
          <w:rFonts w:ascii="宋体" w:hAnsi="宋体" w:eastAsia="宋体"/>
          <w:b/>
          <w:sz w:val="24"/>
        </w:rPr>
        <w:t>R5 安慰剂检验。</w:t>
      </w:r>
      <w:r>
        <w:rPr>
          <w:rFonts w:ascii="宋体" w:hAnsi="宋体" w:eastAsia="宋体"/>
          <w:b w:val="0"/>
          <w:sz w:val="24"/>
        </w:rPr>
        <w:t xml:space="preserve"> 将语调在样本内随机置换 1,000 次后重新估计设定 B，得到的安慰剂系数均值为 −0.004，几乎精确为零，</w:t>
      </w:r>
      <w:r>
        <w:rPr>
          <w:rFonts w:ascii="宋体" w:hAnsi="宋体" w:eastAsia="宋体"/>
          <w:b/>
          <w:sz w:val="24"/>
        </w:rPr>
        <w:t>说明估计量无系统性偏误</w:t>
      </w:r>
      <w:r>
        <w:rPr>
          <w:rFonts w:ascii="宋体" w:hAnsi="宋体" w:eastAsia="宋体"/>
          <w:b w:val="0"/>
          <w:sz w:val="24"/>
        </w:rPr>
        <w:t>；安慰剂系数标准差为 0.184，据此计算的置换 p 值为 0.009，即只有 0.9% 的随机置换能产生绝对值不小于真实系数的估计。这一结果在 1% 水平上拒绝了"语调与未来业绩无真实关联"的原假设，构成对 H2 的</w:t>
      </w:r>
      <w:r>
        <w:rPr>
          <w:rFonts w:ascii="宋体" w:hAnsi="宋体" w:eastAsia="宋体"/>
          <w:b/>
          <w:sz w:val="24"/>
        </w:rPr>
        <w:t>不依赖渐近正态假定的强有力支持</w:t>
      </w:r>
      <w:r>
        <w:rPr>
          <w:rFonts w:ascii="宋体" w:hAnsi="宋体" w:eastAsia="宋体"/>
          <w:b w:val="0"/>
          <w:sz w:val="24"/>
        </w:rPr>
        <w:t>。</w:t>
      </w:r>
    </w:p>
    <w:p>
      <w:pPr>
        <w:spacing w:after="120" w:line="360" w:lineRule="auto"/>
        <w:ind w:firstLine="480"/>
      </w:pPr>
      <w:r>
        <w:rPr>
          <w:rFonts w:ascii="宋体" w:hAnsi="宋体" w:eastAsia="宋体"/>
          <w:b w:val="0"/>
          <w:sz w:val="24"/>
        </w:rPr>
        <w:t>安慰剂检验的意义在本文的语境下尤为突出：由于聚类数（39 家公司）略低于常规门槛，基于渐近分布的 t 检验可能偏乐观。而置换检验不需要任何分布假定，其 p=0.009 的结果说明，即使在最保守的推断框架下，语调与未来业绩的关联依然难以用偶然解释。</w:t>
      </w:r>
      <w:r>
        <w:rPr>
          <w:rFonts w:ascii="宋体" w:hAnsi="宋体" w:eastAsia="宋体"/>
          <w:b/>
          <w:sz w:val="24"/>
        </w:rPr>
        <w:t>这是本文对"语调包含增量信息"这一结论最重要的稳健性证据。</w:t>
      </w:r>
    </w:p>
    <w:p>
      <w:pPr>
        <w:spacing w:after="120" w:line="360" w:lineRule="auto"/>
        <w:ind w:firstLine="480"/>
      </w:pPr>
      <w:r>
        <w:rPr>
          <w:rFonts w:ascii="宋体" w:hAnsi="宋体" w:eastAsia="宋体"/>
          <w:b w:val="0"/>
          <w:sz w:val="24"/>
        </w:rPr>
        <w:t>综合五组检验：R1（替代测度）、R2（替代业绩）、R5（安慰剂）三项完全支持主结论；R4（分半复核）以预期的衰减幅度支持主结论；R3（逐年剔除）显示结论对 2022 年样本存在一定依赖。整体上，</w:t>
      </w:r>
      <w:r>
        <w:rPr>
          <w:rFonts w:ascii="宋体" w:hAnsi="宋体" w:eastAsia="宋体"/>
          <w:b/>
          <w:sz w:val="24"/>
        </w:rPr>
        <w:t>H1 与 H2 在多种设定下稳健成立，但样本年份的依赖性需要在结论中明确说明。</w:t>
      </w:r>
    </w:p>
    <w:p>
      <w:pPr>
        <w:spacing w:before="200" w:after="160"/>
      </w:pPr>
      <w:r>
        <w:rPr>
          <w:rFonts w:ascii="黑体" w:hAnsi="黑体" w:eastAsia="黑体"/>
          <w:b/>
          <w:sz w:val="25"/>
        </w:rPr>
        <w:t>5.7 结果讨论</w:t>
      </w:r>
    </w:p>
    <w:p>
      <w:pPr>
        <w:spacing w:after="120" w:line="360" w:lineRule="auto"/>
        <w:ind w:firstLine="480"/>
      </w:pPr>
      <w:r>
        <w:rPr>
          <w:rFonts w:ascii="宋体" w:hAnsi="宋体" w:eastAsia="宋体"/>
          <w:b/>
          <w:sz w:val="24"/>
        </w:rPr>
        <w:t>（1）语调确实是"有噪声的前瞻性信号"。</w:t>
      </w:r>
      <w:r>
        <w:rPr>
          <w:rFonts w:ascii="宋体" w:hAnsi="宋体" w:eastAsia="宋体"/>
          <w:b w:val="0"/>
          <w:sz w:val="24"/>
        </w:rPr>
        <w:t xml:space="preserve"> 本文的核心发现可以概括为一句话：语调与未来业绩的关系是真实的，但它的强度被当期业绩的持续性大幅稀释。在只控制宏观因素时不控制企业基本面时，语调的系数为 1.574；控制基本面后为 1.124；控制当期业绩后降至 0.451。这一"逐层衰减"的模式本身就是对语调信息属性的刻画：语调中约 29% 的关联来自与可观测基本面的共变，另外约 60% 来自与当期业绩的共变，仅有约三分之一（0.451/1.574）是超出当期业绩的增量部分。但在边际显著的统计意义之外，这一增量部分是真实的——安慰剂检验的 p=0.009 提供了最强支撑。</w:t>
      </w:r>
    </w:p>
    <w:p>
      <w:pPr>
        <w:spacing w:after="120" w:line="360" w:lineRule="auto"/>
        <w:ind w:firstLine="480"/>
      </w:pPr>
      <w:r>
        <w:rPr>
          <w:rFonts w:ascii="宋体" w:hAnsi="宋体" w:eastAsia="宋体"/>
          <w:b/>
          <w:sz w:val="24"/>
        </w:rPr>
        <w:t>（2）语调的预测力主要是横截面属性。</w:t>
      </w:r>
      <w:r>
        <w:rPr>
          <w:rFonts w:ascii="宋体" w:hAnsi="宋体" w:eastAsia="宋体"/>
          <w:b w:val="0"/>
          <w:sz w:val="24"/>
        </w:rPr>
        <w:t xml:space="preserve"> 模型 (4) 中语调系数坍塌至 0.091 且不显著，是本文最值得深思的结果。它意味着"语调高的公司业绩更好"这一说法在样本内成立，而"公司语调变好则业绩将改善"这一时序含义并不成立。对实践者而言，这意味着语调更适合作为公司画像的一部分（配合行业属性、商业模式理解一家公司的披露风格），而不是作为年度择时信号；对研究者而言，这提示在使用语调做事件研究或交易策略时，必须审慎处理公司固定效应与样本期长度的权衡。</w:t>
      </w:r>
    </w:p>
    <w:p>
      <w:pPr>
        <w:spacing w:after="120" w:line="360" w:lineRule="auto"/>
        <w:ind w:firstLine="480"/>
      </w:pPr>
      <w:r>
        <w:rPr>
          <w:rFonts w:ascii="宋体" w:hAnsi="宋体" w:eastAsia="宋体"/>
          <w:b/>
          <w:sz w:val="24"/>
        </w:rPr>
        <w:t>（3）策略性语调假说未获支持。</w:t>
      </w:r>
      <w:r>
        <w:rPr>
          <w:rFonts w:ascii="宋体" w:hAnsi="宋体" w:eastAsia="宋体"/>
          <w:b w:val="0"/>
          <w:sz w:val="24"/>
        </w:rPr>
        <w:t xml:space="preserve"> H3 的两项交互项均不显著，且方向与预期相反。本文认为，这一结果最合理的解读是"识别手段不足"而非"操纵不存在"。本文使用的 D_overOptim 是纯统计偏离度指标（高于同年横截面均值 1 个标准差），它无法区分"真实的超常前景"与"虚假的过度乐观"。要真正识别操纵性语调，更合适的方法是把语调对当期业绩与基本面变量做回归、取残差作为"基本面无法解释的语调成分"，再检验该残差成分的预测力是否更弱（Demers 和 Vega（2021）的思路）。本文受样本规模限制未能实施，列为明确的后续研究方向。</w:t>
      </w:r>
    </w:p>
    <w:p>
      <w:pPr>
        <w:spacing w:after="120" w:line="360" w:lineRule="auto"/>
        <w:ind w:firstLine="480"/>
      </w:pPr>
      <w:r>
        <w:rPr>
          <w:rFonts w:ascii="宋体" w:hAnsi="宋体" w:eastAsia="宋体"/>
          <w:b/>
          <w:sz w:val="24"/>
        </w:rPr>
        <w:t>（4）与既有文献的对话。</w:t>
      </w:r>
      <w:r>
        <w:rPr>
          <w:rFonts w:ascii="宋体" w:hAnsi="宋体" w:eastAsia="宋体"/>
          <w:b w:val="0"/>
          <w:sz w:val="24"/>
        </w:rPr>
        <w:t xml:space="preserve"> 本文的 H1/H2 结果与曾庆生等（2018）、林乐和谢德仁（2017）"中国上市公司语调具有信息含量"的结论方向一致，但在强度上更为谨慎：本文发现语调的增量预测力只达到 10% 显著性水平，且在加入公司固定效应后完全消失。这一差异可能来自样本性质（本文为 40 家公司的便利样本，而非全市场样本，横截面变异与统计功效都更弱）与业绩口径（本文使用 ROA 而非盈余意外）的不同。本文认为，把语调的效应量如实报告为"边际显著"而非夸大为"高度显著"，对后续研究的可靠性更有价值。</w:t>
      </w:r>
    </w:p>
    <w:p>
      <w:pPr>
        <w:spacing w:after="120" w:line="360" w:lineRule="auto"/>
        <w:ind w:firstLine="480"/>
      </w:pPr>
      <w:r>
        <w:rPr>
          <w:rFonts w:ascii="宋体" w:hAnsi="宋体" w:eastAsia="宋体"/>
          <w:b/>
          <w:sz w:val="24"/>
        </w:rPr>
        <w:t>（5）测度方法层面的启示。</w:t>
      </w:r>
      <w:r>
        <w:rPr>
          <w:rFonts w:ascii="宋体" w:hAnsi="宋体" w:eastAsia="宋体"/>
          <w:b w:val="0"/>
          <w:sz w:val="24"/>
        </w:rPr>
        <w:t xml:space="preserve"> 本文最有方法论意义的发现或许是：</w:t>
      </w:r>
      <w:r>
        <w:rPr>
          <w:rFonts w:ascii="宋体" w:hAnsi="宋体" w:eastAsia="宋体"/>
          <w:b/>
          <w:sz w:val="24"/>
        </w:rPr>
        <w:t>分半信度高达 0.95 并不意味着测度有效</w:t>
      </w:r>
      <w:r>
        <w:rPr>
          <w:rFonts w:ascii="宋体" w:hAnsi="宋体" w:eastAsia="宋体"/>
          <w:b w:val="0"/>
          <w:sz w:val="24"/>
        </w:rPr>
        <w:t>。本文的语调测度在内部一致性上表现极佳，但其在经济意义上的预测力只有边际显著。这一对比说明，内部一致性（信度）与构念有效性（效度）是两个独立的维度：一篇文档中任意句子子集都能给出一致的语调读数，只证明测度测量了"某种稳定的文本属性"，并不保证该属性就是"前瞻性信息"。因此，NLP 测度的评估必须同时报告信度与外部效度证据，而后者（如本文的预测效度、已知组效度）往往更重要。这一点对后续所有基于文本测度的研究都具有警示意义。</w:t>
      </w:r>
    </w:p>
    <w:p>
      <w:pPr>
        <w:spacing w:before="200" w:after="160"/>
      </w:pPr>
      <w:r>
        <w:rPr>
          <w:rFonts w:ascii="黑体" w:hAnsi="黑体" w:eastAsia="黑体"/>
          <w:b/>
          <w:sz w:val="28"/>
        </w:rPr>
        <w:t>6 结论与局限</w:t>
      </w:r>
    </w:p>
    <w:p>
      <w:pPr>
        <w:spacing w:before="200" w:after="160"/>
      </w:pPr>
      <w:r>
        <w:rPr>
          <w:rFonts w:ascii="黑体" w:hAnsi="黑体" w:eastAsia="黑体"/>
          <w:b/>
          <w:sz w:val="25"/>
        </w:rPr>
        <w:t>6.1 主要结论</w:t>
      </w:r>
    </w:p>
    <w:p>
      <w:pPr>
        <w:spacing w:after="120" w:line="360" w:lineRule="auto"/>
        <w:ind w:firstLine="480"/>
      </w:pPr>
      <w:r>
        <w:rPr>
          <w:rFonts w:ascii="宋体" w:hAnsi="宋体" w:eastAsia="宋体"/>
          <w:b w:val="0"/>
          <w:sz w:val="24"/>
        </w:rPr>
        <w:t>本文以 40 家非金融 A 股上市公司 2022—2024 财年年报为语料，构建了词典法、机器学习法与离散度三层管理层语调测度，并通过企业-年度面板回归检验语调与企业未来经营业绩的关系。主要结论如下。</w:t>
      </w:r>
    </w:p>
    <w:p>
      <w:pPr>
        <w:spacing w:after="120" w:line="360" w:lineRule="auto"/>
        <w:ind w:firstLine="480"/>
      </w:pPr>
      <w:r>
        <w:rPr>
          <w:rFonts w:ascii="宋体" w:hAnsi="宋体" w:eastAsia="宋体"/>
          <w:b/>
          <w:sz w:val="24"/>
        </w:rPr>
        <w:t>第一，本文构建的语调测度通过全部信效度检验。</w:t>
      </w:r>
      <w:r>
        <w:rPr>
          <w:rFonts w:ascii="宋体" w:hAnsi="宋体" w:eastAsia="宋体"/>
          <w:b w:val="0"/>
          <w:sz w:val="24"/>
        </w:rPr>
        <w:t xml:space="preserve"> 分半信度经 Spearman-Brown 校正达 0.9496，词典法与机器学习法聚合效度 0.5432，已知组效度 t=3.4688（p=0.0008），预测效度 r=0.3876（p&lt;0.0001），机器学习测度 5 折交叉验证准确率 0.8133、AUC 0.8471。四项检验分别提供了内部一致性、收敛效度、判别效度与效标关联效度的证据，说明测度具备进入实证分析的质量基础。</w:t>
      </w:r>
    </w:p>
    <w:p>
      <w:pPr>
        <w:spacing w:after="120" w:line="360" w:lineRule="auto"/>
        <w:ind w:firstLine="480"/>
      </w:pPr>
      <w:r>
        <w:rPr>
          <w:rFonts w:ascii="宋体" w:hAnsi="宋体" w:eastAsia="宋体"/>
          <w:b/>
          <w:sz w:val="24"/>
        </w:rPr>
        <w:t>第二，H1 得到支持。</w:t>
      </w:r>
      <w:r>
        <w:rPr>
          <w:rFonts w:ascii="宋体" w:hAnsi="宋体" w:eastAsia="宋体"/>
          <w:b w:val="0"/>
          <w:sz w:val="24"/>
        </w:rPr>
        <w:t xml:space="preserve"> 在仅控制年度固定效应时，语调对未来一年 ROA 的回归系数为 1.574（t=2.24，p=0.0249）；加入规模、杠杆、成长性三个控制变量后系数为 1.124（t=2.41，p=0.0158），仍在 5% 水平显著。语调每提高 1 个标准差（1.831 个百分点），下一年 ROA 平均提高约 2.88 个百分点。</w:t>
      </w:r>
    </w:p>
    <w:p>
      <w:pPr>
        <w:spacing w:after="120" w:line="360" w:lineRule="auto"/>
        <w:ind w:firstLine="480"/>
      </w:pPr>
      <w:r>
        <w:rPr>
          <w:rFonts w:ascii="宋体" w:hAnsi="宋体" w:eastAsia="宋体"/>
          <w:b/>
          <w:sz w:val="24"/>
        </w:rPr>
        <w:t>第三，H2 得到部分支持。</w:t>
      </w:r>
      <w:r>
        <w:rPr>
          <w:rFonts w:ascii="宋体" w:hAnsi="宋体" w:eastAsia="宋体"/>
          <w:b w:val="0"/>
          <w:sz w:val="24"/>
        </w:rPr>
        <w:t xml:space="preserve"> 在进一步控制当期 ROA 后，语调系数降至 0.451，t=1.82，p=0.0692，在 10% 水平上边际显著。这说明语调中确实包含超出当期业绩的增量信息，但增量比例有限（约为原始关联的三分之一）。1,000 次安慰剂置换检验给出的 p 值为 0.009，在不依赖渐近分布假定的框架下支持语调与未来业绩存在真实关联。</w:t>
      </w:r>
    </w:p>
    <w:p>
      <w:pPr>
        <w:spacing w:after="120" w:line="360" w:lineRule="auto"/>
        <w:ind w:firstLine="480"/>
      </w:pPr>
      <w:r>
        <w:rPr>
          <w:rFonts w:ascii="宋体" w:hAnsi="宋体" w:eastAsia="宋体"/>
          <w:b/>
          <w:sz w:val="24"/>
        </w:rPr>
        <w:t>第四，H3 未获支持。</w:t>
      </w:r>
      <w:r>
        <w:rPr>
          <w:rFonts w:ascii="宋体" w:hAnsi="宋体" w:eastAsia="宋体"/>
          <w:b w:val="0"/>
          <w:sz w:val="24"/>
        </w:rPr>
        <w:t xml:space="preserve"> 语调 × 过度乐观哑变量（系数 0.140，p=0.6878）与语调 × 高杠杆哑变量（系数 0.550，p=0.1211）均不显著，且方向与策略性语调假说预期相反。考虑到样本规模（112 个观测）限制，这一结果应解读为"未发现支持证据"而非"证明假说不成立"。</w:t>
      </w:r>
    </w:p>
    <w:p>
      <w:pPr>
        <w:spacing w:after="120" w:line="360" w:lineRule="auto"/>
        <w:ind w:firstLine="480"/>
      </w:pPr>
      <w:r>
        <w:rPr>
          <w:rFonts w:ascii="宋体" w:hAnsi="宋体" w:eastAsia="宋体"/>
          <w:b/>
          <w:sz w:val="24"/>
        </w:rPr>
        <w:t>第五，稳健性检验整体支持主结论。</w:t>
      </w:r>
      <w:r>
        <w:rPr>
          <w:rFonts w:ascii="宋体" w:hAnsi="宋体" w:eastAsia="宋体"/>
          <w:b w:val="0"/>
          <w:sz w:val="24"/>
        </w:rPr>
        <w:t xml:space="preserve"> 替代测度（机器学习语调）与替代业绩（ROE）下结论保持一致；分半语调的复核结果方向一致、量级因信度衰减而略低；安慰剂检验强烈拒绝零假设。唯一需要注意的是，剔除 2022 年后语调系数失去显著性，说明结论对样本年份存在一定依赖，语调的信息含量可能具有状态依赖性。</w:t>
      </w:r>
    </w:p>
    <w:p>
      <w:pPr>
        <w:spacing w:after="120" w:line="360" w:lineRule="auto"/>
        <w:ind w:firstLine="480"/>
      </w:pPr>
      <w:r>
        <w:rPr>
          <w:rFonts w:ascii="宋体" w:hAnsi="宋体" w:eastAsia="宋体"/>
          <w:b/>
          <w:sz w:val="24"/>
        </w:rPr>
        <w:t>第六，语调预测力主要来自公司之间的横截面差异。</w:t>
      </w:r>
      <w:r>
        <w:rPr>
          <w:rFonts w:ascii="宋体" w:hAnsi="宋体" w:eastAsia="宋体"/>
          <w:b w:val="0"/>
          <w:sz w:val="24"/>
        </w:rPr>
        <w:t xml:space="preserve"> 引入公司固定效应后语调系数降至 0.091 且不显著（p=0.7343）。这说明"语调高的公司业绩更好"在样本内成立，但"同一公司语调变好预示业绩改善"的时序含义不成立。这一发现界定了语调测度的适用边界，也提示后续研究需要更大的样本期长度来识别公司内效应。</w:t>
      </w:r>
    </w:p>
    <w:p>
      <w:pPr>
        <w:spacing w:before="200" w:after="160"/>
      </w:pPr>
      <w:r>
        <w:rPr>
          <w:rFonts w:ascii="黑体" w:hAnsi="黑体" w:eastAsia="黑体"/>
          <w:b/>
          <w:sz w:val="25"/>
        </w:rPr>
        <w:t>6.2 理论与实践含义</w:t>
      </w:r>
    </w:p>
    <w:p>
      <w:pPr>
        <w:spacing w:after="120" w:line="360" w:lineRule="auto"/>
        <w:ind w:firstLine="480"/>
      </w:pPr>
      <w:r>
        <w:rPr>
          <w:rFonts w:ascii="宋体" w:hAnsi="宋体" w:eastAsia="宋体"/>
          <w:b/>
          <w:sz w:val="24"/>
        </w:rPr>
        <w:t>理论层面</w:t>
      </w:r>
      <w:r>
        <w:rPr>
          <w:rFonts w:ascii="宋体" w:hAnsi="宋体" w:eastAsia="宋体"/>
          <w:b w:val="0"/>
          <w:sz w:val="24"/>
        </w:rPr>
        <w:t>，本文对"语调是信息还是操纵"这一争论提供的证据是双向的：语调和未来业绩的显著正相关支持信息假说，而语调预测力在控制当期业绩后大幅衰减、且在公司固定效应下完全消失，又说明语调的信息含量不宜被高估。本文的方法论启示更为明确：NLP 测度的高内部一致性（本测度分半信度 0.95）不能替代外部效度检验，测度评估必须包含预测效度与已知组效度等外部证据。</w:t>
      </w:r>
    </w:p>
    <w:p>
      <w:pPr>
        <w:spacing w:after="120" w:line="360" w:lineRule="auto"/>
        <w:ind w:firstLine="480"/>
      </w:pPr>
      <w:r>
        <w:rPr>
          <w:rFonts w:ascii="宋体" w:hAnsi="宋体" w:eastAsia="宋体"/>
          <w:b/>
          <w:sz w:val="24"/>
        </w:rPr>
        <w:t>实践层面</w:t>
      </w:r>
      <w:r>
        <w:rPr>
          <w:rFonts w:ascii="宋体" w:hAnsi="宋体" w:eastAsia="宋体"/>
          <w:b w:val="0"/>
          <w:sz w:val="24"/>
        </w:rPr>
        <w:t>，本文的结论对三类主体有直接含义。对</w:t>
      </w:r>
      <w:r>
        <w:rPr>
          <w:rFonts w:ascii="宋体" w:hAnsi="宋体" w:eastAsia="宋体"/>
          <w:b/>
          <w:sz w:val="24"/>
        </w:rPr>
        <w:t>投资者</w:t>
      </w:r>
      <w:r>
        <w:rPr>
          <w:rFonts w:ascii="宋体" w:hAnsi="宋体" w:eastAsia="宋体"/>
          <w:b w:val="0"/>
          <w:sz w:val="24"/>
        </w:rPr>
        <w:t>，语调可以作为公司画像的辅助维度（语调持续偏乐观的公司往往基本面更稳健），但不宜作为年度择时信号，因为它与业绩的时序关联在样本中不成立。对</w:t>
      </w:r>
      <w:r>
        <w:rPr>
          <w:rFonts w:ascii="宋体" w:hAnsi="宋体" w:eastAsia="宋体"/>
          <w:b/>
          <w:sz w:val="24"/>
        </w:rPr>
        <w:t>监管者</w:t>
      </w:r>
      <w:r>
        <w:rPr>
          <w:rFonts w:ascii="宋体" w:hAnsi="宋体" w:eastAsia="宋体"/>
          <w:b w:val="0"/>
          <w:sz w:val="24"/>
        </w:rPr>
        <w:t>，语调与未来业绩的正相关提示管理层叙述并非无成本的"空话"，但也应注意到语调的整体乐观倾向（本样本全部观测的净语调为正），在评价披露质量时宜关注语调与公司基本面的偏离程度而非语调的绝对值。对</w:t>
      </w:r>
      <w:r>
        <w:rPr>
          <w:rFonts w:ascii="宋体" w:hAnsi="宋体" w:eastAsia="宋体"/>
          <w:b/>
          <w:sz w:val="24"/>
        </w:rPr>
        <w:t>企业披露实践</w:t>
      </w:r>
      <w:r>
        <w:rPr>
          <w:rFonts w:ascii="宋体" w:hAnsi="宋体" w:eastAsia="宋体"/>
          <w:b w:val="0"/>
          <w:sz w:val="24"/>
        </w:rPr>
        <w:t>，本文的测度框架提供了一套可自检的文本质量工具：企业可以通过分半信度与语调-业绩相关性诊断自身披露文本的信息含量是否充分。</w:t>
      </w:r>
    </w:p>
    <w:p>
      <w:pPr>
        <w:spacing w:before="200" w:after="160"/>
      </w:pPr>
      <w:r>
        <w:rPr>
          <w:rFonts w:ascii="黑体" w:hAnsi="黑体" w:eastAsia="黑体"/>
          <w:b/>
          <w:sz w:val="25"/>
        </w:rPr>
        <w:t>6.3 研究局限与未来方向</w:t>
      </w:r>
    </w:p>
    <w:p>
      <w:pPr>
        <w:spacing w:after="120" w:line="360" w:lineRule="auto"/>
        <w:ind w:firstLine="480"/>
      </w:pPr>
      <w:r>
        <w:rPr>
          <w:rFonts w:ascii="宋体" w:hAnsi="宋体" w:eastAsia="宋体"/>
          <w:b w:val="0"/>
          <w:sz w:val="24"/>
        </w:rPr>
        <w:t>本文存在以下局限，其中若干直接影响结论的推断强度，此处如实说明。</w:t>
      </w:r>
    </w:p>
    <w:p>
      <w:pPr>
        <w:spacing w:after="120" w:line="360" w:lineRule="auto"/>
        <w:ind w:firstLine="480"/>
      </w:pPr>
      <w:r>
        <w:rPr>
          <w:rFonts w:ascii="宋体" w:hAnsi="宋体" w:eastAsia="宋体"/>
          <w:b/>
          <w:sz w:val="24"/>
        </w:rPr>
        <w:t>（1）样本规模与代表性。</w:t>
      </w:r>
      <w:r>
        <w:rPr>
          <w:rFonts w:ascii="宋体" w:hAnsi="宋体" w:eastAsia="宋体"/>
          <w:b w:val="0"/>
          <w:sz w:val="24"/>
        </w:rPr>
        <w:t xml:space="preserve"> 本文使用 40 家公司的便利样本，最终可用观测仅 112 个、覆盖 39 家公司，平均观测年限不足 3 年。这一规模远低于同类文献常用的数千个企业-年度观测，直接导致三个后果：一是统计功效不足，对中等规模的效应（尤其是交互项效应）难以可靠检出，H3 的"不显著"因此不宜解读为"不存在"；二是聚类数（39 家）略低于常规门槛，基于渐近分布的 t 检验可能偏乐观（本文已用安慰剂置换检验作为补充）；三是便利样本带来的选择性偏差，样本公司普遍规模较大、披露较规范，结论未必能外推到中小企业与信息披露质量较差的公司。未来研究应扩展至全市场样本，并覆盖更长的时间窗（如 2010—2024 年），以同时提升统计功效与公司内变异的识别能力。</w:t>
      </w:r>
    </w:p>
    <w:p>
      <w:pPr>
        <w:spacing w:after="120" w:line="360" w:lineRule="auto"/>
        <w:ind w:firstLine="480"/>
      </w:pPr>
      <w:r>
        <w:rPr>
          <w:rFonts w:ascii="宋体" w:hAnsi="宋体" w:eastAsia="宋体"/>
          <w:b/>
          <w:sz w:val="24"/>
        </w:rPr>
        <w:t>（2）识别策略的因果局限。</w:t>
      </w:r>
      <w:r>
        <w:rPr>
          <w:rFonts w:ascii="宋体" w:hAnsi="宋体" w:eastAsia="宋体"/>
          <w:b w:val="0"/>
          <w:sz w:val="24"/>
        </w:rPr>
        <w:t xml:space="preserve"> 本文采用滞后解释变量与双向固定效应设计，能够排除反向因果的最直接形式并吸收时不变的公司特征与宏观冲击，但无法排除时变遗漏变量（如公司治理改善、管理层更换）。因此本文的结论应严格理解为</w:t>
      </w:r>
      <w:r>
        <w:rPr>
          <w:rFonts w:ascii="宋体" w:hAnsi="宋体" w:eastAsia="宋体"/>
          <w:b/>
          <w:sz w:val="24"/>
        </w:rPr>
        <w:t>条件相关性</w:t>
      </w:r>
      <w:r>
        <w:rPr>
          <w:rFonts w:ascii="宋体" w:hAnsi="宋体" w:eastAsia="宋体"/>
          <w:b w:val="0"/>
          <w:sz w:val="24"/>
        </w:rPr>
        <w:t>，而非因果效应。真正建立因果识别需要外生冲击（如披露规则变更、监管问询事件）或工具变量，这超出本文范围。</w:t>
      </w:r>
    </w:p>
    <w:p>
      <w:pPr>
        <w:spacing w:after="120" w:line="360" w:lineRule="auto"/>
        <w:ind w:firstLine="480"/>
      </w:pPr>
      <w:r>
        <w:rPr>
          <w:rFonts w:ascii="宋体" w:hAnsi="宋体" w:eastAsia="宋体"/>
          <w:b/>
          <w:sz w:val="24"/>
        </w:rPr>
        <w:t>（3）测度工具的局限。</w:t>
      </w:r>
      <w:r>
        <w:rPr>
          <w:rFonts w:ascii="宋体" w:hAnsi="宋体" w:eastAsia="宋体"/>
          <w:b w:val="0"/>
          <w:sz w:val="24"/>
        </w:rPr>
        <w:t xml:space="preserve"> 本文使用的是自建的教学演示版情感词典（正面 209 词、负面 188 词、否定 31 词、程度 66 条），词表规模显著小于成熟的中文金融词典（如姚加权等 2021 的版本），对词典外表述的覆盖有限。这既可能压低测度的信噪比，也可能使 TONE_ml 中的"词典法残差"包含较多噪声。未来研究应替换为经过大规模语料验证的成熟词典，并与本文结果对比，以检验结论对词典版本的敏感性。此外，本文的否定词窗口（前 3 词）与程度副词窗口（前 2 词）是经验设定，未做敏感性分析；中文中"不无道理""未必不能"等双重否定与反语的句法结构也无法被窗口规则捕捉。</w:t>
      </w:r>
    </w:p>
    <w:p>
      <w:pPr>
        <w:spacing w:after="120" w:line="360" w:lineRule="auto"/>
        <w:ind w:firstLine="480"/>
      </w:pPr>
      <w:r>
        <w:rPr>
          <w:rFonts w:ascii="宋体" w:hAnsi="宋体" w:eastAsia="宋体"/>
          <w:b/>
          <w:sz w:val="24"/>
        </w:rPr>
        <w:t>（4）H3 识别手段的局限。</w:t>
      </w:r>
      <w:r>
        <w:rPr>
          <w:rFonts w:ascii="宋体" w:hAnsi="宋体" w:eastAsia="宋体"/>
          <w:b w:val="0"/>
          <w:sz w:val="24"/>
        </w:rPr>
        <w:t xml:space="preserve"> 如 5.7 节所讨论，本文的 D_overOptim 定义为纯统计偏离度（高于同年横截面均值 1 个标准差），无法区分"真实超常前景"与"策略性夸大"。高杠杆分组同样是粗糙的操纵动机代理。更合适的设计是把语调对当期业绩与可观测基本面做回归、以残差作为"基本面无法解释的语调成分"，再检验该成分的预测力衰减。本文因样本规模限制未能实施，这是最值得优先推进的后续工作。</w:t>
      </w:r>
    </w:p>
    <w:p>
      <w:pPr>
        <w:spacing w:after="120" w:line="360" w:lineRule="auto"/>
        <w:ind w:firstLine="480"/>
      </w:pPr>
      <w:r>
        <w:rPr>
          <w:rFonts w:ascii="宋体" w:hAnsi="宋体" w:eastAsia="宋体"/>
          <w:b/>
          <w:sz w:val="24"/>
        </w:rPr>
        <w:t>（5）年度依赖性的未解之谜。</w:t>
      </w:r>
      <w:r>
        <w:rPr>
          <w:rFonts w:ascii="宋体" w:hAnsi="宋体" w:eastAsia="宋体"/>
          <w:b w:val="0"/>
          <w:sz w:val="24"/>
        </w:rPr>
        <w:t xml:space="preserve"> 剔除 2022 年后语调系数失去显著性（设定 B 下系数从 0.451 降至 0.021），这一现象说明语调的信息含量可能与宏观环境状态有关，但本文样本仅含三个年度，无法区分"2022 年的特殊性"与"宏观不确定性普遍提升语调信息含量"两种解释。如果后者成立，将是一个重要的新发现——它意味着文本信息的价值具有状态依赖性。验证这一假说需要跨越多轮经济周期的长样本，属于明确的未来研究方向。</w:t>
      </w:r>
    </w:p>
    <w:p>
      <w:pPr>
        <w:spacing w:after="120" w:line="360" w:lineRule="auto"/>
        <w:ind w:firstLine="480"/>
      </w:pPr>
      <w:r>
        <w:rPr>
          <w:rFonts w:ascii="宋体" w:hAnsi="宋体" w:eastAsia="宋体"/>
          <w:b/>
          <w:sz w:val="24"/>
        </w:rPr>
        <w:t>（6）未纳入的分析维度。</w:t>
      </w:r>
      <w:r>
        <w:rPr>
          <w:rFonts w:ascii="宋体" w:hAnsi="宋体" w:eastAsia="宋体"/>
          <w:b w:val="0"/>
          <w:sz w:val="24"/>
        </w:rPr>
        <w:t xml:space="preserve"> 本文未考察语调对股价、交易量、分析师预测等资本市场变量的影响，也未区分 MD&amp;A 中"回顾"与"展望"两个子章节的差异（前者应更多反映已实现业绩，后者应更多包含前瞻信息）。这两个方向都能显著提升研究的解释力，留待后续工作。</w:t>
      </w:r>
    </w:p>
    <w:p>
      <w:pPr>
        <w:spacing w:before="200" w:after="160"/>
      </w:pPr>
      <w:r>
        <w:rPr>
          <w:rFonts w:ascii="黑体" w:hAnsi="黑体" w:eastAsia="黑体"/>
          <w:b/>
          <w:sz w:val="28"/>
        </w:rPr>
        <w:t>参考文献</w:t>
      </w:r>
    </w:p>
    <w:p>
      <w:pPr>
        <w:spacing w:after="120" w:line="360" w:lineRule="auto"/>
        <w:ind w:firstLine="480"/>
      </w:pPr>
      <w:r>
        <w:rPr>
          <w:rFonts w:ascii="宋体" w:hAnsi="宋体" w:eastAsia="宋体"/>
          <w:b w:val="0"/>
          <w:sz w:val="24"/>
        </w:rPr>
        <w:t>[1] Loughran T, McDonald B. When is a liability not a liability? Textual analysis, dictionaries, and 10-Ks[J]. The Journal of Finance, 2011, 66(1): 35-65.</w:t>
      </w:r>
    </w:p>
    <w:p>
      <w:pPr>
        <w:spacing w:after="120" w:line="360" w:lineRule="auto"/>
        <w:ind w:firstLine="480"/>
      </w:pPr>
      <w:r>
        <w:rPr>
          <w:rFonts w:ascii="宋体" w:hAnsi="宋体" w:eastAsia="宋体"/>
          <w:b w:val="0"/>
          <w:sz w:val="24"/>
        </w:rPr>
        <w:t>[2] Loughran T, McDonald B. Textual analysis in accounting and finance: A survey[J]. Journal of Accounting Research, 2016, 54(4): 1187-1230.</w:t>
      </w:r>
    </w:p>
    <w:p>
      <w:pPr>
        <w:spacing w:after="120" w:line="360" w:lineRule="auto"/>
        <w:ind w:firstLine="480"/>
      </w:pPr>
      <w:r>
        <w:rPr>
          <w:rFonts w:ascii="宋体" w:hAnsi="宋体" w:eastAsia="宋体"/>
          <w:b w:val="0"/>
          <w:sz w:val="24"/>
        </w:rPr>
        <w:t>[3] Tetlock P C, Saar-Tsechansky M, Macskassy S. More than words: Quantifying language to measure firms' fundamentals[J]. The Journal of Finance, 2008, 63(3): 1437-1467.</w:t>
      </w:r>
    </w:p>
    <w:p>
      <w:pPr>
        <w:spacing w:after="120" w:line="360" w:lineRule="auto"/>
        <w:ind w:firstLine="480"/>
      </w:pPr>
      <w:r>
        <w:rPr>
          <w:rFonts w:ascii="宋体" w:hAnsi="宋体" w:eastAsia="宋体"/>
          <w:b w:val="0"/>
          <w:sz w:val="24"/>
        </w:rPr>
        <w:t>[4] Davis A K, Piger J M, Sedor L M. Beyond the numbers: Measuring the information content of earnings press release language[J]. Contemporary Accounting Research, 2012, 29(3): 845-868.</w:t>
      </w:r>
    </w:p>
    <w:p>
      <w:pPr>
        <w:spacing w:after="120" w:line="360" w:lineRule="auto"/>
        <w:ind w:firstLine="480"/>
      </w:pPr>
      <w:r>
        <w:rPr>
          <w:rFonts w:ascii="宋体" w:hAnsi="宋体" w:eastAsia="宋体"/>
          <w:b w:val="0"/>
          <w:sz w:val="24"/>
        </w:rPr>
        <w:t>[5] Baginski S P, Demers E, Kausar A, Yu Y. Linguistic tone and the communication of expectations through management earnings forecasts[R]. Working Paper, 2012.</w:t>
      </w:r>
    </w:p>
    <w:p>
      <w:pPr>
        <w:spacing w:after="120" w:line="360" w:lineRule="auto"/>
        <w:ind w:firstLine="480"/>
      </w:pPr>
      <w:r>
        <w:rPr>
          <w:rFonts w:ascii="宋体" w:hAnsi="宋体" w:eastAsia="宋体"/>
          <w:b w:val="0"/>
          <w:sz w:val="24"/>
        </w:rPr>
        <w:t>[6] Rogers J L, Van Buskirk A, Zechman S L C. Disclosure tone and shareholder litigation[J]. The Accounting Review, 2011, 86(6): 2155-2183.</w:t>
      </w:r>
    </w:p>
    <w:p>
      <w:pPr>
        <w:spacing w:after="120" w:line="360" w:lineRule="auto"/>
        <w:ind w:firstLine="480"/>
      </w:pPr>
      <w:r>
        <w:rPr>
          <w:rFonts w:ascii="宋体" w:hAnsi="宋体" w:eastAsia="宋体"/>
          <w:b w:val="0"/>
          <w:sz w:val="24"/>
        </w:rPr>
        <w:t>[7] Demers E, Vega C. Linguistic tone and insider trading[J/OL]. Journal of Accounting and Economics, 2021.</w:t>
      </w:r>
    </w:p>
    <w:p>
      <w:pPr>
        <w:spacing w:after="120" w:line="360" w:lineRule="auto"/>
        <w:ind w:firstLine="480"/>
      </w:pPr>
      <w:r>
        <w:rPr>
          <w:rFonts w:ascii="宋体" w:hAnsi="宋体" w:eastAsia="宋体"/>
          <w:b w:val="0"/>
          <w:sz w:val="24"/>
        </w:rPr>
        <w:t>[8] Ke Z, Kelly B T, Xiu D. Predicting returns with text data[R]. NBER Working Paper No. 26186, 2019.</w:t>
      </w:r>
    </w:p>
    <w:p>
      <w:pPr>
        <w:spacing w:after="120" w:line="360" w:lineRule="auto"/>
        <w:ind w:firstLine="480"/>
      </w:pPr>
      <w:r>
        <w:rPr>
          <w:rFonts w:ascii="宋体" w:hAnsi="宋体" w:eastAsia="宋体"/>
          <w:b w:val="0"/>
          <w:sz w:val="24"/>
        </w:rPr>
        <w:t>[9] Li F. The information content of forward-looking statements in corporate filings: A naïve Bayesian machine learning approach[J]. Journal of Accounting Research, 2010, 48(5): 1049-1102.</w:t>
      </w:r>
    </w:p>
    <w:p>
      <w:pPr>
        <w:spacing w:after="120" w:line="360" w:lineRule="auto"/>
        <w:ind w:firstLine="480"/>
      </w:pPr>
      <w:r>
        <w:rPr>
          <w:rFonts w:ascii="宋体" w:hAnsi="宋体" w:eastAsia="宋体"/>
          <w:b w:val="0"/>
          <w:sz w:val="24"/>
        </w:rPr>
        <w:t>[10] 姚加权, 冯绪, 王赞钧, 等. 语调、情绪及市场影响: 基于金融情绪词典[J]. 管理科学学报, 2021, 24(9): 67-88.</w:t>
      </w:r>
    </w:p>
    <w:p>
      <w:pPr>
        <w:spacing w:after="120" w:line="360" w:lineRule="auto"/>
        <w:ind w:firstLine="480"/>
      </w:pPr>
      <w:r>
        <w:rPr>
          <w:rFonts w:ascii="宋体" w:hAnsi="宋体" w:eastAsia="宋体"/>
          <w:b w:val="0"/>
          <w:sz w:val="24"/>
        </w:rPr>
        <w:t>[11] 曾庆生, 周波, 张程, 陈信元. 年报语调与内部人交易: "表里如一"还是"口是心非"?[J]. 管理世界, 2018, 34(9): 143-160.</w:t>
      </w:r>
    </w:p>
    <w:p>
      <w:pPr>
        <w:spacing w:after="120" w:line="360" w:lineRule="auto"/>
        <w:ind w:firstLine="480"/>
      </w:pPr>
      <w:r>
        <w:rPr>
          <w:rFonts w:ascii="宋体" w:hAnsi="宋体" w:eastAsia="宋体"/>
          <w:b w:val="0"/>
          <w:sz w:val="24"/>
        </w:rPr>
        <w:t>[12] 林乐, 谢德仁. 分析师荐股更新与业绩说明会文本语调[J]. 金融研究, 2017(3): 191-206.</w:t>
      </w:r>
    </w:p>
    <w:p>
      <w:pPr>
        <w:spacing w:after="120" w:line="360" w:lineRule="auto"/>
        <w:ind w:firstLine="480"/>
      </w:pPr>
      <w:r>
        <w:rPr>
          <w:rFonts w:ascii="宋体" w:hAnsi="宋体" w:eastAsia="宋体"/>
          <w:b w:val="0"/>
          <w:sz w:val="24"/>
        </w:rPr>
        <w:t>[13] 胡楠, 薛付婧, 王昊楠. 管理者短视主义影响企业长期投资吗? 基于文本分析和机器学习[J]. 管理世界, 2021, 37(5): 139-156.</w:t>
      </w:r>
    </w:p>
    <w:p>
      <w:pPr>
        <w:spacing w:after="120" w:line="360" w:lineRule="auto"/>
        <w:ind w:firstLine="480"/>
      </w:pPr>
      <w:r>
        <w:rPr>
          <w:rFonts w:ascii="宋体" w:hAnsi="宋体" w:eastAsia="宋体"/>
          <w:b w:val="0"/>
          <w:sz w:val="24"/>
        </w:rPr>
        <w:t>[14] 张金若, 刘雅丹, 曾令玉. 年报语调与盈余管理: 基于 A 股上市公司的经验证据[J]. 会计研究, 2020.</w:t>
      </w:r>
    </w:p>
    <w:p>
      <w:pPr>
        <w:spacing w:after="120" w:line="360" w:lineRule="auto"/>
        <w:ind w:firstLine="480"/>
      </w:pPr>
      <w:r>
        <w:rPr>
          <w:rFonts w:ascii="宋体" w:hAnsi="宋体" w:eastAsia="宋体"/>
          <w:b w:val="0"/>
          <w:sz w:val="24"/>
        </w:rPr>
        <w:t>[15] 王华婷, 郑雅光, 杨楠. 管理层语调与股价崩盘风险[J]. 中国工业经济, 2019.</w:t>
      </w:r>
    </w:p>
    <w:p>
      <w:pPr>
        <w:spacing w:after="120" w:line="360" w:lineRule="auto"/>
        <w:ind w:firstLine="480"/>
      </w:pPr>
      <w:r>
        <w:rPr>
          <w:rFonts w:ascii="宋体" w:hAnsi="宋体" w:eastAsia="宋体"/>
          <w:b w:val="0"/>
          <w:sz w:val="24"/>
        </w:rPr>
        <w:t>[16] Salton G, Buckley C. Term-weighting approaches in automatic text retrieval[J]. Information Processing &amp; Management, 1988, 24(5): 513-523.</w:t>
      </w:r>
    </w:p>
    <w:p>
      <w:pPr>
        <w:spacing w:after="120" w:line="360" w:lineRule="auto"/>
        <w:ind w:firstLine="480"/>
      </w:pPr>
      <w:r>
        <w:rPr>
          <w:rFonts w:ascii="宋体" w:hAnsi="宋体" w:eastAsia="宋体"/>
          <w:b w:val="0"/>
          <w:sz w:val="24"/>
        </w:rPr>
        <w:t>[17] Spearman C. Correlation calculated from faulty data[J]. British Journal of Psychology, 1910, 3(3): 271-295.</w:t>
      </w:r>
    </w:p>
    <w:p>
      <w:pPr>
        <w:spacing w:after="120" w:line="360" w:lineRule="auto"/>
        <w:ind w:firstLine="480"/>
      </w:pPr>
      <w:r>
        <w:rPr>
          <w:rFonts w:ascii="宋体" w:hAnsi="宋体" w:eastAsia="宋体"/>
          <w:b w:val="0"/>
          <w:sz w:val="24"/>
        </w:rPr>
        <w:t>[18] Cameron A C, Miller D L. A practitioner's guide to cluster-robust inference[J]. Journal of Human Resources, 2015, 50(2): 317-372.</w:t>
      </w:r>
    </w:p>
    <w:p>
      <w:pPr>
        <w:spacing w:after="120" w:line="360" w:lineRule="auto"/>
        <w:ind w:firstLine="480"/>
      </w:pPr>
      <w:r>
        <w:rPr>
          <w:rFonts w:ascii="宋体" w:hAnsi="宋体" w:eastAsia="宋体"/>
          <w:b w:val="0"/>
          <w:sz w:val="24"/>
        </w:rPr>
        <w:t>[19] 深圳证券交易所. 深圳证券交易所上市公司自律监管指引第 1 号——业务办理[S]. 深圳: 深圳证券交易所, 2023.</w:t>
      </w:r>
    </w:p>
    <w:p>
      <w:pPr>
        <w:spacing w:after="120" w:line="360" w:lineRule="auto"/>
        <w:ind w:firstLine="480"/>
      </w:pPr>
      <w:r>
        <w:rPr>
          <w:rFonts w:ascii="宋体" w:hAnsi="宋体" w:eastAsia="宋体"/>
          <w:b w:val="0"/>
          <w:sz w:val="24"/>
        </w:rPr>
        <w:t>[20] 中国证券监督管理委员会. 公开发行证券的公司信息披露内容与格式准则第 2 号——年度报告的内容与格式[S]. 北京: 中国证监会, 2021.</w:t>
      </w:r>
    </w:p>
    <w:p>
      <w:pPr>
        <w:spacing w:before="200" w:after="160"/>
      </w:pPr>
      <w:r>
        <w:rPr>
          <w:rFonts w:ascii="黑体" w:hAnsi="黑体" w:eastAsia="黑体"/>
          <w:b/>
          <w:sz w:val="28"/>
        </w:rPr>
        <w:t>附录 A  图表索引与论文-文件对应关系</w:t>
      </w:r>
    </w:p>
    <w:p>
      <w:pPr>
        <w:spacing w:after="120" w:line="360" w:lineRule="auto"/>
        <w:ind w:firstLine="480"/>
      </w:pPr>
      <w:r>
        <w:rPr>
          <w:rFonts w:ascii="宋体" w:hAnsi="宋体" w:eastAsia="宋体"/>
          <w:b w:val="0"/>
          <w:sz w:val="24"/>
        </w:rPr>
        <w:t xml:space="preserve">本文正文中的全部数字均由 </w:t>
      </w:r>
      <w:r>
        <w:rPr>
          <w:rFonts w:ascii="Consolas" w:hAnsi="Consolas" w:eastAsia="Consolas"/>
          <w:b w:val="0"/>
          <w:sz w:val="22"/>
        </w:rPr>
        <w:t>output/tables/</w:t>
      </w:r>
      <w:r>
        <w:rPr>
          <w:rFonts w:ascii="宋体" w:hAnsi="宋体" w:eastAsia="宋体"/>
          <w:b w:val="0"/>
          <w:sz w:val="24"/>
        </w:rPr>
        <w:t xml:space="preserve"> 下的 CSV 文件直接产生，图表与文件的对应关系如下，便于复核。</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21"/>
              </w:rPr>
              <w:t>论文编号</w:t>
            </w:r>
          </w:p>
        </w:tc>
        <w:tc>
          <w:tcPr>
            <w:tcW w:type="dxa" w:w="2880"/>
          </w:tcPr>
          <w:p>
            <w:pPr>
              <w:jc w:val="center"/>
            </w:pPr>
            <w:r/>
            <w:r>
              <w:rPr>
                <w:rFonts w:ascii="宋体" w:hAnsi="宋体" w:eastAsia="宋体"/>
                <w:b/>
                <w:sz w:val="21"/>
              </w:rPr>
              <w:t>内容</w:t>
            </w:r>
          </w:p>
        </w:tc>
        <w:tc>
          <w:tcPr>
            <w:tcW w:type="dxa" w:w="2880"/>
          </w:tcPr>
          <w:p>
            <w:pPr>
              <w:jc w:val="center"/>
            </w:pPr>
            <w:r/>
            <w:r>
              <w:rPr>
                <w:rFonts w:ascii="宋体" w:hAnsi="宋体" w:eastAsia="宋体"/>
                <w:b/>
                <w:sz w:val="21"/>
              </w:rPr>
              <w:t>对应结果文件</w:t>
            </w:r>
          </w:p>
        </w:tc>
      </w:tr>
      <w:tr>
        <w:tc>
          <w:tcPr>
            <w:tcW w:type="dxa" w:w="2880"/>
          </w:tcPr>
          <w:p>
            <w:r/>
            <w:r>
              <w:rPr>
                <w:rFonts w:ascii="宋体" w:hAnsi="宋体" w:eastAsia="宋体"/>
                <w:b w:val="0"/>
                <w:sz w:val="21"/>
              </w:rPr>
              <w:t>表 1</w:t>
            </w:r>
          </w:p>
        </w:tc>
        <w:tc>
          <w:tcPr>
            <w:tcW w:type="dxa" w:w="2880"/>
          </w:tcPr>
          <w:p>
            <w:r/>
            <w:r>
              <w:rPr>
                <w:rFonts w:ascii="宋体" w:hAnsi="宋体" w:eastAsia="宋体"/>
                <w:b w:val="0"/>
                <w:sz w:val="21"/>
              </w:rPr>
              <w:t>变量定义与度量</w:t>
            </w:r>
          </w:p>
        </w:tc>
        <w:tc>
          <w:tcPr>
            <w:tcW w:type="dxa" w:w="2880"/>
          </w:tcPr>
          <w:p>
            <w:r/>
            <w:r>
              <w:rPr>
                <w:rFonts w:ascii="宋体" w:hAnsi="宋体" w:eastAsia="宋体"/>
                <w:b w:val="0"/>
                <w:sz w:val="21"/>
              </w:rPr>
              <w:t>`code/04_merge_panel.py` 输出面板字段</w:t>
            </w:r>
          </w:p>
        </w:tc>
      </w:tr>
      <w:tr>
        <w:tc>
          <w:tcPr>
            <w:tcW w:type="dxa" w:w="2880"/>
          </w:tcPr>
          <w:p>
            <w:r/>
            <w:r>
              <w:rPr>
                <w:rFonts w:ascii="宋体" w:hAnsi="宋体" w:eastAsia="宋体"/>
                <w:b w:val="0"/>
                <w:sz w:val="21"/>
              </w:rPr>
              <w:t>表 2</w:t>
            </w:r>
          </w:p>
        </w:tc>
        <w:tc>
          <w:tcPr>
            <w:tcW w:type="dxa" w:w="2880"/>
          </w:tcPr>
          <w:p>
            <w:r/>
            <w:r>
              <w:rPr>
                <w:rFonts w:ascii="宋体" w:hAnsi="宋体" w:eastAsia="宋体"/>
                <w:b w:val="0"/>
                <w:sz w:val="21"/>
              </w:rPr>
              <w:t>数据、代码与图表文件清单及来源</w:t>
            </w:r>
          </w:p>
        </w:tc>
        <w:tc>
          <w:tcPr>
            <w:tcW w:type="dxa" w:w="2880"/>
          </w:tcPr>
          <w:p>
            <w:r/>
            <w:r>
              <w:rPr>
                <w:rFonts w:ascii="宋体" w:hAnsi="宋体" w:eastAsia="宋体"/>
                <w:b w:val="0"/>
                <w:sz w:val="21"/>
              </w:rPr>
              <w:t>见 `README.md` 与 `data/` 目录</w:t>
            </w:r>
          </w:p>
        </w:tc>
      </w:tr>
      <w:tr>
        <w:tc>
          <w:tcPr>
            <w:tcW w:type="dxa" w:w="2880"/>
          </w:tcPr>
          <w:p>
            <w:r/>
            <w:r>
              <w:rPr>
                <w:rFonts w:ascii="宋体" w:hAnsi="宋体" w:eastAsia="宋体"/>
                <w:b w:val="0"/>
                <w:sz w:val="21"/>
              </w:rPr>
              <w:t>表 3</w:t>
            </w:r>
          </w:p>
        </w:tc>
        <w:tc>
          <w:tcPr>
            <w:tcW w:type="dxa" w:w="2880"/>
          </w:tcPr>
          <w:p>
            <w:r/>
            <w:r>
              <w:rPr>
                <w:rFonts w:ascii="宋体" w:hAnsi="宋体" w:eastAsia="宋体"/>
                <w:b w:val="0"/>
                <w:sz w:val="21"/>
              </w:rPr>
              <w:t>语调测度的信度与效度检验结果</w:t>
            </w:r>
          </w:p>
        </w:tc>
        <w:tc>
          <w:tcPr>
            <w:tcW w:type="dxa" w:w="2880"/>
          </w:tcPr>
          <w:p>
            <w:r/>
            <w:r>
              <w:rPr>
                <w:rFonts w:ascii="宋体" w:hAnsi="宋体" w:eastAsia="宋体"/>
                <w:b w:val="0"/>
                <w:sz w:val="21"/>
              </w:rPr>
              <w:t>`output/tables/tab_reliability.csv`</w:t>
            </w:r>
          </w:p>
        </w:tc>
      </w:tr>
      <w:tr>
        <w:tc>
          <w:tcPr>
            <w:tcW w:type="dxa" w:w="2880"/>
          </w:tcPr>
          <w:p>
            <w:r/>
            <w:r>
              <w:rPr>
                <w:rFonts w:ascii="宋体" w:hAnsi="宋体" w:eastAsia="宋体"/>
                <w:b w:val="0"/>
                <w:sz w:val="21"/>
              </w:rPr>
              <w:t>表 4</w:t>
            </w:r>
          </w:p>
        </w:tc>
        <w:tc>
          <w:tcPr>
            <w:tcW w:type="dxa" w:w="2880"/>
          </w:tcPr>
          <w:p>
            <w:r/>
            <w:r>
              <w:rPr>
                <w:rFonts w:ascii="宋体" w:hAnsi="宋体" w:eastAsia="宋体"/>
                <w:b w:val="0"/>
                <w:sz w:val="21"/>
              </w:rPr>
              <w:t>主要变量描述性统计</w:t>
            </w:r>
          </w:p>
        </w:tc>
        <w:tc>
          <w:tcPr>
            <w:tcW w:type="dxa" w:w="2880"/>
          </w:tcPr>
          <w:p>
            <w:r/>
            <w:r>
              <w:rPr>
                <w:rFonts w:ascii="宋体" w:hAnsi="宋体" w:eastAsia="宋体"/>
                <w:b w:val="0"/>
                <w:sz w:val="21"/>
              </w:rPr>
              <w:t>`output/tables/tab2_descriptive.csv`</w:t>
            </w:r>
          </w:p>
        </w:tc>
      </w:tr>
      <w:tr>
        <w:tc>
          <w:tcPr>
            <w:tcW w:type="dxa" w:w="2880"/>
          </w:tcPr>
          <w:p>
            <w:r/>
            <w:r>
              <w:rPr>
                <w:rFonts w:ascii="宋体" w:hAnsi="宋体" w:eastAsia="宋体"/>
                <w:b w:val="0"/>
                <w:sz w:val="21"/>
              </w:rPr>
              <w:t>表 5</w:t>
            </w:r>
          </w:p>
        </w:tc>
        <w:tc>
          <w:tcPr>
            <w:tcW w:type="dxa" w:w="2880"/>
          </w:tcPr>
          <w:p>
            <w:r/>
            <w:r>
              <w:rPr>
                <w:rFonts w:ascii="宋体" w:hAnsi="宋体" w:eastAsia="宋体"/>
                <w:b w:val="0"/>
                <w:sz w:val="21"/>
              </w:rPr>
              <w:t>主要变量相关系数矩阵</w:t>
            </w:r>
          </w:p>
        </w:tc>
        <w:tc>
          <w:tcPr>
            <w:tcW w:type="dxa" w:w="2880"/>
          </w:tcPr>
          <w:p>
            <w:r/>
            <w:r>
              <w:rPr>
                <w:rFonts w:ascii="宋体" w:hAnsi="宋体" w:eastAsia="宋体"/>
                <w:b w:val="0"/>
                <w:sz w:val="21"/>
              </w:rPr>
              <w:t>`output/tables/tab3_corr.csv`</w:t>
            </w:r>
          </w:p>
        </w:tc>
      </w:tr>
      <w:tr>
        <w:tc>
          <w:tcPr>
            <w:tcW w:type="dxa" w:w="2880"/>
          </w:tcPr>
          <w:p>
            <w:r/>
            <w:r>
              <w:rPr>
                <w:rFonts w:ascii="宋体" w:hAnsi="宋体" w:eastAsia="宋体"/>
                <w:b w:val="0"/>
                <w:sz w:val="21"/>
              </w:rPr>
              <w:t>表 6</w:t>
            </w:r>
          </w:p>
        </w:tc>
        <w:tc>
          <w:tcPr>
            <w:tcW w:type="dxa" w:w="2880"/>
          </w:tcPr>
          <w:p>
            <w:r/>
            <w:r>
              <w:rPr>
                <w:rFonts w:ascii="宋体" w:hAnsi="宋体" w:eastAsia="宋体"/>
                <w:b w:val="0"/>
                <w:sz w:val="21"/>
              </w:rPr>
              <w:t>管理层语调与企业未来业绩：基准回归</w:t>
            </w:r>
          </w:p>
        </w:tc>
        <w:tc>
          <w:tcPr>
            <w:tcW w:type="dxa" w:w="2880"/>
          </w:tcPr>
          <w:p>
            <w:r/>
            <w:r>
              <w:rPr>
                <w:rFonts w:ascii="宋体" w:hAnsi="宋体" w:eastAsia="宋体"/>
                <w:b w:val="0"/>
                <w:sz w:val="21"/>
              </w:rPr>
              <w:t>`output/tables/tab4_main_reg.csv`</w:t>
            </w:r>
          </w:p>
        </w:tc>
      </w:tr>
      <w:tr>
        <w:tc>
          <w:tcPr>
            <w:tcW w:type="dxa" w:w="2880"/>
          </w:tcPr>
          <w:p>
            <w:r/>
            <w:r>
              <w:rPr>
                <w:rFonts w:ascii="宋体" w:hAnsi="宋体" w:eastAsia="宋体"/>
                <w:b w:val="0"/>
                <w:sz w:val="21"/>
              </w:rPr>
              <w:t>表 7</w:t>
            </w:r>
          </w:p>
        </w:tc>
        <w:tc>
          <w:tcPr>
            <w:tcW w:type="dxa" w:w="2880"/>
          </w:tcPr>
          <w:p>
            <w:r/>
            <w:r>
              <w:rPr>
                <w:rFonts w:ascii="宋体" w:hAnsi="宋体" w:eastAsia="宋体"/>
                <w:b w:val="0"/>
                <w:sz w:val="21"/>
              </w:rPr>
              <w:t>语调可信度的异质性检验（H3）</w:t>
            </w:r>
          </w:p>
        </w:tc>
        <w:tc>
          <w:tcPr>
            <w:tcW w:type="dxa" w:w="2880"/>
          </w:tcPr>
          <w:p>
            <w:r/>
            <w:r>
              <w:rPr>
                <w:rFonts w:ascii="宋体" w:hAnsi="宋体" w:eastAsia="宋体"/>
                <w:b w:val="0"/>
                <w:sz w:val="21"/>
              </w:rPr>
              <w:t>`output/tables/tab5_interaction.csv`</w:t>
            </w:r>
          </w:p>
        </w:tc>
      </w:tr>
      <w:tr>
        <w:tc>
          <w:tcPr>
            <w:tcW w:type="dxa" w:w="2880"/>
          </w:tcPr>
          <w:p>
            <w:r/>
            <w:r>
              <w:rPr>
                <w:rFonts w:ascii="宋体" w:hAnsi="宋体" w:eastAsia="宋体"/>
                <w:b w:val="0"/>
                <w:sz w:val="21"/>
              </w:rPr>
              <w:t>表 8</w:t>
            </w:r>
          </w:p>
        </w:tc>
        <w:tc>
          <w:tcPr>
            <w:tcW w:type="dxa" w:w="2880"/>
          </w:tcPr>
          <w:p>
            <w:r/>
            <w:r>
              <w:rPr>
                <w:rFonts w:ascii="宋体" w:hAnsi="宋体" w:eastAsia="宋体"/>
                <w:b w:val="0"/>
                <w:sz w:val="21"/>
              </w:rPr>
              <w:t>稳健性检验结果</w:t>
            </w:r>
          </w:p>
        </w:tc>
        <w:tc>
          <w:tcPr>
            <w:tcW w:type="dxa" w:w="2880"/>
          </w:tcPr>
          <w:p>
            <w:r/>
            <w:r>
              <w:rPr>
                <w:rFonts w:ascii="宋体" w:hAnsi="宋体" w:eastAsia="宋体"/>
                <w:b w:val="0"/>
                <w:sz w:val="21"/>
              </w:rPr>
              <w:t>`output/tables/tab6_robustness.csv`</w:t>
            </w:r>
          </w:p>
        </w:tc>
      </w:tr>
      <w:tr>
        <w:tc>
          <w:tcPr>
            <w:tcW w:type="dxa" w:w="2880"/>
          </w:tcPr>
          <w:p>
            <w:r/>
            <w:r>
              <w:rPr>
                <w:rFonts w:ascii="宋体" w:hAnsi="宋体" w:eastAsia="宋体"/>
                <w:b w:val="0"/>
                <w:sz w:val="21"/>
              </w:rPr>
              <w:t>表 9</w:t>
            </w:r>
          </w:p>
        </w:tc>
        <w:tc>
          <w:tcPr>
            <w:tcW w:type="dxa" w:w="2880"/>
          </w:tcPr>
          <w:p>
            <w:r/>
            <w:r>
              <w:rPr>
                <w:rFonts w:ascii="宋体" w:hAnsi="宋体" w:eastAsia="宋体"/>
                <w:b w:val="0"/>
                <w:sz w:val="21"/>
              </w:rPr>
              <w:t>安慰剂检验（1000 次随机置换）</w:t>
            </w:r>
          </w:p>
        </w:tc>
        <w:tc>
          <w:tcPr>
            <w:tcW w:type="dxa" w:w="2880"/>
          </w:tcPr>
          <w:p>
            <w:r/>
            <w:r>
              <w:rPr>
                <w:rFonts w:ascii="宋体" w:hAnsi="宋体" w:eastAsia="宋体"/>
                <w:b w:val="0"/>
                <w:sz w:val="21"/>
              </w:rPr>
              <w:t>`output/tables/tab7_placebo.csv`</w:t>
            </w:r>
          </w:p>
        </w:tc>
      </w:tr>
      <w:tr>
        <w:tc>
          <w:tcPr>
            <w:tcW w:type="dxa" w:w="2880"/>
          </w:tcPr>
          <w:p>
            <w:r/>
            <w:r>
              <w:rPr>
                <w:rFonts w:ascii="宋体" w:hAnsi="宋体" w:eastAsia="宋体"/>
                <w:b w:val="0"/>
                <w:sz w:val="21"/>
              </w:rPr>
              <w:t>图 1</w:t>
            </w:r>
          </w:p>
        </w:tc>
        <w:tc>
          <w:tcPr>
            <w:tcW w:type="dxa" w:w="2880"/>
          </w:tcPr>
          <w:p>
            <w:r/>
            <w:r>
              <w:rPr>
                <w:rFonts w:ascii="宋体" w:hAnsi="宋体" w:eastAsia="宋体"/>
                <w:b w:val="0"/>
                <w:sz w:val="21"/>
              </w:rPr>
              <w:t>管理层净语调的分布</w:t>
            </w:r>
          </w:p>
        </w:tc>
        <w:tc>
          <w:tcPr>
            <w:tcW w:type="dxa" w:w="2880"/>
          </w:tcPr>
          <w:p>
            <w:r/>
            <w:r>
              <w:rPr>
                <w:rFonts w:ascii="宋体" w:hAnsi="宋体" w:eastAsia="宋体"/>
                <w:b w:val="0"/>
                <w:sz w:val="21"/>
              </w:rPr>
              <w:t>`output/figures/fig1_tone_dist.png`</w:t>
            </w:r>
          </w:p>
        </w:tc>
      </w:tr>
      <w:tr>
        <w:tc>
          <w:tcPr>
            <w:tcW w:type="dxa" w:w="2880"/>
          </w:tcPr>
          <w:p>
            <w:r/>
            <w:r>
              <w:rPr>
                <w:rFonts w:ascii="宋体" w:hAnsi="宋体" w:eastAsia="宋体"/>
                <w:b w:val="0"/>
                <w:sz w:val="21"/>
              </w:rPr>
              <w:t>图 2</w:t>
            </w:r>
          </w:p>
        </w:tc>
        <w:tc>
          <w:tcPr>
            <w:tcW w:type="dxa" w:w="2880"/>
          </w:tcPr>
          <w:p>
            <w:r/>
            <w:r>
              <w:rPr>
                <w:rFonts w:ascii="宋体" w:hAnsi="宋体" w:eastAsia="宋体"/>
                <w:b w:val="0"/>
                <w:sz w:val="21"/>
              </w:rPr>
              <w:t>管理层净语调的年度变化</w:t>
            </w:r>
          </w:p>
        </w:tc>
        <w:tc>
          <w:tcPr>
            <w:tcW w:type="dxa" w:w="2880"/>
          </w:tcPr>
          <w:p>
            <w:r/>
            <w:r>
              <w:rPr>
                <w:rFonts w:ascii="宋体" w:hAnsi="宋体" w:eastAsia="宋体"/>
                <w:b w:val="0"/>
                <w:sz w:val="21"/>
              </w:rPr>
              <w:t>`output/figures/fig2_tone_year.png`</w:t>
            </w:r>
          </w:p>
        </w:tc>
      </w:tr>
      <w:tr>
        <w:tc>
          <w:tcPr>
            <w:tcW w:type="dxa" w:w="2880"/>
          </w:tcPr>
          <w:p>
            <w:r/>
            <w:r>
              <w:rPr>
                <w:rFonts w:ascii="宋体" w:hAnsi="宋体" w:eastAsia="宋体"/>
                <w:b w:val="0"/>
                <w:sz w:val="21"/>
              </w:rPr>
              <w:t>图 3</w:t>
            </w:r>
          </w:p>
        </w:tc>
        <w:tc>
          <w:tcPr>
            <w:tcW w:type="dxa" w:w="2880"/>
          </w:tcPr>
          <w:p>
            <w:r/>
            <w:r>
              <w:rPr>
                <w:rFonts w:ascii="宋体" w:hAnsi="宋体" w:eastAsia="宋体"/>
                <w:b w:val="0"/>
                <w:sz w:val="21"/>
              </w:rPr>
              <w:t>语调与未来经营业绩的关系</w:t>
            </w:r>
          </w:p>
        </w:tc>
        <w:tc>
          <w:tcPr>
            <w:tcW w:type="dxa" w:w="2880"/>
          </w:tcPr>
          <w:p>
            <w:r/>
            <w:r>
              <w:rPr>
                <w:rFonts w:ascii="宋体" w:hAnsi="宋体" w:eastAsia="宋体"/>
                <w:b w:val="0"/>
                <w:sz w:val="21"/>
              </w:rPr>
              <w:t>`output/figures/fig3_tone_roa.png`</w:t>
            </w:r>
          </w:p>
        </w:tc>
      </w:tr>
      <w:tr>
        <w:tc>
          <w:tcPr>
            <w:tcW w:type="dxa" w:w="2880"/>
          </w:tcPr>
          <w:p>
            <w:r/>
            <w:r>
              <w:rPr>
                <w:rFonts w:ascii="宋体" w:hAnsi="宋体" w:eastAsia="宋体"/>
                <w:b w:val="0"/>
                <w:sz w:val="21"/>
              </w:rPr>
              <w:t>图 4</w:t>
            </w:r>
          </w:p>
        </w:tc>
        <w:tc>
          <w:tcPr>
            <w:tcW w:type="dxa" w:w="2880"/>
          </w:tcPr>
          <w:p>
            <w:r/>
            <w:r>
              <w:rPr>
                <w:rFonts w:ascii="宋体" w:hAnsi="宋体" w:eastAsia="宋体"/>
                <w:b w:val="0"/>
                <w:sz w:val="21"/>
              </w:rPr>
              <w:t>安慰剂检验分布</w:t>
            </w:r>
          </w:p>
        </w:tc>
        <w:tc>
          <w:tcPr>
            <w:tcW w:type="dxa" w:w="2880"/>
          </w:tcPr>
          <w:p>
            <w:r/>
            <w:r>
              <w:rPr>
                <w:rFonts w:ascii="宋体" w:hAnsi="宋体" w:eastAsia="宋体"/>
                <w:b w:val="0"/>
                <w:sz w:val="21"/>
              </w:rPr>
              <w:t>`output/figures/fig4_placebo.png`</w:t>
            </w:r>
          </w:p>
        </w:tc>
      </w:tr>
      <w:tr>
        <w:tc>
          <w:tcPr>
            <w:tcW w:type="dxa" w:w="2880"/>
          </w:tcPr>
          <w:p>
            <w:r/>
            <w:r>
              <w:rPr>
                <w:rFonts w:ascii="宋体" w:hAnsi="宋体" w:eastAsia="宋体"/>
                <w:b w:val="0"/>
                <w:sz w:val="21"/>
              </w:rPr>
              <w:t>图 5</w:t>
            </w:r>
          </w:p>
        </w:tc>
        <w:tc>
          <w:tcPr>
            <w:tcW w:type="dxa" w:w="2880"/>
          </w:tcPr>
          <w:p>
            <w:r/>
            <w:r>
              <w:rPr>
                <w:rFonts w:ascii="宋体" w:hAnsi="宋体" w:eastAsia="宋体"/>
                <w:b w:val="0"/>
                <w:sz w:val="21"/>
              </w:rPr>
              <w:t>语调可信度的异质性检验（H3）</w:t>
            </w:r>
          </w:p>
        </w:tc>
        <w:tc>
          <w:tcPr>
            <w:tcW w:type="dxa" w:w="2880"/>
          </w:tcPr>
          <w:p>
            <w:r/>
            <w:r>
              <w:rPr>
                <w:rFonts w:ascii="宋体" w:hAnsi="宋体" w:eastAsia="宋体"/>
                <w:b w:val="0"/>
                <w:sz w:val="21"/>
              </w:rPr>
              <w:t>`output/figures/fig5_interaction.png`</w:t>
            </w:r>
          </w:p>
        </w:tc>
      </w:tr>
      <w:tr>
        <w:tc>
          <w:tcPr>
            <w:tcW w:type="dxa" w:w="2880"/>
          </w:tcPr>
          <w:p>
            <w:r/>
            <w:r>
              <w:rPr>
                <w:rFonts w:ascii="宋体" w:hAnsi="宋体" w:eastAsia="宋体"/>
                <w:b w:val="0"/>
                <w:sz w:val="21"/>
              </w:rPr>
              <w:t>图 6</w:t>
            </w:r>
          </w:p>
        </w:tc>
        <w:tc>
          <w:tcPr>
            <w:tcW w:type="dxa" w:w="2880"/>
          </w:tcPr>
          <w:p>
            <w:r/>
            <w:r>
              <w:rPr>
                <w:rFonts w:ascii="宋体" w:hAnsi="宋体" w:eastAsia="宋体"/>
                <w:b w:val="0"/>
                <w:sz w:val="21"/>
              </w:rPr>
              <w:t>稳健性检验系数对比（Forest 图）</w:t>
            </w:r>
          </w:p>
        </w:tc>
        <w:tc>
          <w:tcPr>
            <w:tcW w:type="dxa" w:w="2880"/>
          </w:tcPr>
          <w:p>
            <w:r/>
            <w:r>
              <w:rPr>
                <w:rFonts w:ascii="宋体" w:hAnsi="宋体" w:eastAsia="宋体"/>
                <w:b w:val="0"/>
                <w:sz w:val="21"/>
              </w:rPr>
              <w:t>`output/figures/fig6_forest.png`</w:t>
            </w:r>
          </w:p>
        </w:tc>
      </w:tr>
    </w:tbl>
    <w:p>
      <w:pPr>
        <w:spacing w:after="120" w:line="360" w:lineRule="auto"/>
        <w:ind w:firstLine="480"/>
      </w:pPr>
      <w:r>
        <w:rPr>
          <w:rFonts w:ascii="宋体" w:hAnsi="宋体" w:eastAsia="宋体"/>
          <w:b/>
          <w:sz w:val="24"/>
        </w:rPr>
        <w:t>图 1  管理层净语调的分布</w:t>
      </w:r>
    </w:p>
    <w:p>
      <w:pPr>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fig1_tone_dist.png"/>
                    <pic:cNvPicPr/>
                  </pic:nvPicPr>
                  <pic:blipFill>
                    <a:blip r:embed="rId9"/>
                    <a:stretch>
                      <a:fillRect/>
                    </a:stretch>
                  </pic:blipFill>
                  <pic:spPr>
                    <a:xfrm>
                      <a:off x="0" y="0"/>
                      <a:ext cx="5120640" cy="3072384"/>
                    </a:xfrm>
                    <a:prstGeom prst="rect"/>
                  </pic:spPr>
                </pic:pic>
              </a:graphicData>
            </a:graphic>
          </wp:inline>
        </w:drawing>
      </w:r>
    </w:p>
    <w:p>
      <w:pPr>
        <w:jc w:val="center"/>
      </w:pPr>
      <w:r>
        <w:rPr>
          <w:rFonts w:ascii="宋体" w:hAnsi="宋体" w:eastAsia="宋体"/>
          <w:b/>
          <w:sz w:val="21"/>
        </w:rPr>
        <w:t>图 1  管理层净语调的分布（百分数口径，虚线为样本均值）</w:t>
      </w:r>
    </w:p>
    <w:p>
      <w:pPr>
        <w:spacing w:after="120" w:line="360" w:lineRule="auto"/>
        <w:ind w:firstLine="480"/>
      </w:pPr>
      <w:r>
        <w:rPr>
          <w:rFonts w:ascii="宋体" w:hAnsi="宋体" w:eastAsia="宋体"/>
          <w:b w:val="0"/>
          <w:sz w:val="24"/>
        </w:rPr>
        <w:t>图 1 显示净语调呈近似单峰分布，全部观测为正，均值 4.74%，分布略微右偏，说明多数公司的语调集中在中低水平，少数公司语调明显偏高。</w:t>
      </w:r>
    </w:p>
    <w:p>
      <w:pPr>
        <w:spacing w:after="120" w:line="360" w:lineRule="auto"/>
        <w:ind w:firstLine="480"/>
      </w:pPr>
      <w:r>
        <w:rPr>
          <w:rFonts w:ascii="宋体" w:hAnsi="宋体" w:eastAsia="宋体"/>
          <w:b/>
          <w:sz w:val="24"/>
        </w:rPr>
        <w:t>图 2  管理层净语调的年度变化</w:t>
      </w:r>
    </w:p>
    <w:p>
      <w:pPr>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fig2_tone_year.png"/>
                    <pic:cNvPicPr/>
                  </pic:nvPicPr>
                  <pic:blipFill>
                    <a:blip r:embed="rId10"/>
                    <a:stretch>
                      <a:fillRect/>
                    </a:stretch>
                  </pic:blipFill>
                  <pic:spPr>
                    <a:xfrm>
                      <a:off x="0" y="0"/>
                      <a:ext cx="5120640" cy="3072384"/>
                    </a:xfrm>
                    <a:prstGeom prst="rect"/>
                  </pic:spPr>
                </pic:pic>
              </a:graphicData>
            </a:graphic>
          </wp:inline>
        </w:drawing>
      </w:r>
    </w:p>
    <w:p>
      <w:pPr>
        <w:jc w:val="center"/>
      </w:pPr>
      <w:r>
        <w:rPr>
          <w:rFonts w:ascii="宋体" w:hAnsi="宋体" w:eastAsia="宋体"/>
          <w:b/>
          <w:sz w:val="21"/>
        </w:rPr>
        <w:t>图 2  管理层净语调的年度变化（含 95% 置信区间）</w:t>
      </w:r>
    </w:p>
    <w:p>
      <w:pPr>
        <w:spacing w:after="120" w:line="360" w:lineRule="auto"/>
        <w:ind w:firstLine="480"/>
      </w:pPr>
      <w:r>
        <w:rPr>
          <w:rFonts w:ascii="宋体" w:hAnsi="宋体" w:eastAsia="宋体"/>
          <w:b w:val="0"/>
          <w:sz w:val="24"/>
        </w:rPr>
        <w:t>图 2 报告分年度语调均值与 95% 置信区间。年度之间的差异反映了宏观环境与业绩分化程度的变化，这一差异与本文件 R3 逐年剔除检验中"剔除 2022 年显著性消失"的发现相互呼应。</w:t>
      </w:r>
    </w:p>
    <w:p>
      <w:pPr>
        <w:spacing w:after="120" w:line="360" w:lineRule="auto"/>
        <w:ind w:firstLine="480"/>
      </w:pPr>
      <w:r>
        <w:rPr>
          <w:rFonts w:ascii="宋体" w:hAnsi="宋体" w:eastAsia="宋体"/>
          <w:b/>
          <w:sz w:val="24"/>
        </w:rPr>
        <w:t>图 3  语调与未来经营业绩的关系</w:t>
      </w:r>
    </w:p>
    <w:p>
      <w:pPr>
        <w:jc w:val="center"/>
      </w:pPr>
      <w:r>
        <w:drawing>
          <wp:inline xmlns:a="http://schemas.openxmlformats.org/drawingml/2006/main" xmlns:pic="http://schemas.openxmlformats.org/drawingml/2006/picture">
            <wp:extent cx="5120640" cy="3364992"/>
            <wp:docPr id="3" name="Picture 3"/>
            <wp:cNvGraphicFramePr>
              <a:graphicFrameLocks noChangeAspect="1"/>
            </wp:cNvGraphicFramePr>
            <a:graphic>
              <a:graphicData uri="http://schemas.openxmlformats.org/drawingml/2006/picture">
                <pic:pic>
                  <pic:nvPicPr>
                    <pic:cNvPr id="0" name="fig3_tone_roa.png"/>
                    <pic:cNvPicPr/>
                  </pic:nvPicPr>
                  <pic:blipFill>
                    <a:blip r:embed="rId11"/>
                    <a:stretch>
                      <a:fillRect/>
                    </a:stretch>
                  </pic:blipFill>
                  <pic:spPr>
                    <a:xfrm>
                      <a:off x="0" y="0"/>
                      <a:ext cx="5120640" cy="3364992"/>
                    </a:xfrm>
                    <a:prstGeom prst="rect"/>
                  </pic:spPr>
                </pic:pic>
              </a:graphicData>
            </a:graphic>
          </wp:inline>
        </w:drawing>
      </w:r>
    </w:p>
    <w:p>
      <w:pPr>
        <w:jc w:val="center"/>
      </w:pPr>
      <w:r>
        <w:rPr>
          <w:rFonts w:ascii="宋体" w:hAnsi="宋体" w:eastAsia="宋体"/>
          <w:b/>
          <w:sz w:val="21"/>
        </w:rPr>
        <w:t>图 3  语调与未来经营业绩（散点与线性拟合）</w:t>
      </w:r>
    </w:p>
    <w:p>
      <w:pPr>
        <w:spacing w:after="120" w:line="360" w:lineRule="auto"/>
        <w:ind w:firstLine="480"/>
      </w:pPr>
      <w:r>
        <w:rPr>
          <w:rFonts w:ascii="宋体" w:hAnsi="宋体" w:eastAsia="宋体"/>
          <w:b w:val="0"/>
          <w:sz w:val="24"/>
        </w:rPr>
        <w:t>图 3 的散点与拟合线显示语调与下一年 ROA 之间存在清晰的正向关系（相关系数 0.402），但散点分布的垂直离散度较大，说明语调只是未来业绩的众多影响因素之一，解释力有限——这与回归中调整 R² 的量级以及 H2 的"边际显著"结论一致。</w:t>
      </w:r>
    </w:p>
    <w:p>
      <w:pPr>
        <w:spacing w:after="120" w:line="360" w:lineRule="auto"/>
        <w:ind w:firstLine="480"/>
      </w:pPr>
      <w:r>
        <w:rPr>
          <w:rFonts w:ascii="宋体" w:hAnsi="宋体" w:eastAsia="宋体"/>
          <w:b/>
          <w:sz w:val="24"/>
        </w:rPr>
        <w:t>图 4  安慰剂检验分布</w:t>
      </w:r>
    </w:p>
    <w:p>
      <w:pPr>
        <w:jc w:val="center"/>
      </w:pPr>
      <w:r>
        <w:drawing>
          <wp:inline xmlns:a="http://schemas.openxmlformats.org/drawingml/2006/main" xmlns:pic="http://schemas.openxmlformats.org/drawingml/2006/picture">
            <wp:extent cx="5120640" cy="3129280"/>
            <wp:docPr id="4" name="Picture 4"/>
            <wp:cNvGraphicFramePr>
              <a:graphicFrameLocks noChangeAspect="1"/>
            </wp:cNvGraphicFramePr>
            <a:graphic>
              <a:graphicData uri="http://schemas.openxmlformats.org/drawingml/2006/picture">
                <pic:pic>
                  <pic:nvPicPr>
                    <pic:cNvPr id="0" name="fig4_placebo.png"/>
                    <pic:cNvPicPr/>
                  </pic:nvPicPr>
                  <pic:blipFill>
                    <a:blip r:embed="rId12"/>
                    <a:stretch>
                      <a:fillRect/>
                    </a:stretch>
                  </pic:blipFill>
                  <pic:spPr>
                    <a:xfrm>
                      <a:off x="0" y="0"/>
                      <a:ext cx="5120640" cy="3129280"/>
                    </a:xfrm>
                    <a:prstGeom prst="rect"/>
                  </pic:spPr>
                </pic:pic>
              </a:graphicData>
            </a:graphic>
          </wp:inline>
        </w:drawing>
      </w:r>
    </w:p>
    <w:p>
      <w:pPr>
        <w:jc w:val="center"/>
      </w:pPr>
      <w:r>
        <w:rPr>
          <w:rFonts w:ascii="宋体" w:hAnsi="宋体" w:eastAsia="宋体"/>
          <w:b/>
          <w:sz w:val="21"/>
        </w:rPr>
        <w:t>图 4  安慰剂检验：随机打乱语调 1000 次后的系数分布</w:t>
      </w:r>
    </w:p>
    <w:p>
      <w:pPr>
        <w:spacing w:after="120" w:line="360" w:lineRule="auto"/>
        <w:ind w:firstLine="480"/>
      </w:pPr>
      <w:r>
        <w:rPr>
          <w:rFonts w:ascii="宋体" w:hAnsi="宋体" w:eastAsia="宋体"/>
          <w:b w:val="0"/>
          <w:sz w:val="24"/>
        </w:rPr>
        <w:t>图 4 中安慰剂系数近似以零为中心的对称分布，真实系数（0.451）落在分布的右侧尾部，仅有 0.9% 的置换样本能达到或超过该绝对值。</w:t>
      </w:r>
    </w:p>
    <w:p>
      <w:pPr>
        <w:spacing w:after="120" w:line="360" w:lineRule="auto"/>
        <w:ind w:firstLine="480"/>
      </w:pPr>
      <w:r>
        <w:rPr>
          <w:rFonts w:ascii="宋体" w:hAnsi="宋体" w:eastAsia="宋体"/>
          <w:b/>
          <w:sz w:val="24"/>
        </w:rPr>
        <w:t>图 5  语调可信度的异质性检验（H3）</w:t>
      </w:r>
    </w:p>
    <w:p>
      <w:pPr>
        <w:jc w:val="center"/>
      </w:pPr>
      <w:r>
        <w:drawing>
          <wp:inline xmlns:a="http://schemas.openxmlformats.org/drawingml/2006/main" xmlns:pic="http://schemas.openxmlformats.org/drawingml/2006/picture">
            <wp:extent cx="5120640" cy="3019865"/>
            <wp:docPr id="5" name="Picture 5"/>
            <wp:cNvGraphicFramePr>
              <a:graphicFrameLocks noChangeAspect="1"/>
            </wp:cNvGraphicFramePr>
            <a:graphic>
              <a:graphicData uri="http://schemas.openxmlformats.org/drawingml/2006/picture">
                <pic:pic>
                  <pic:nvPicPr>
                    <pic:cNvPr id="0" name="fig5_interaction.png"/>
                    <pic:cNvPicPr/>
                  </pic:nvPicPr>
                  <pic:blipFill>
                    <a:blip r:embed="rId13"/>
                    <a:stretch>
                      <a:fillRect/>
                    </a:stretch>
                  </pic:blipFill>
                  <pic:spPr>
                    <a:xfrm>
                      <a:off x="0" y="0"/>
                      <a:ext cx="5120640" cy="3019865"/>
                    </a:xfrm>
                    <a:prstGeom prst="rect"/>
                  </pic:spPr>
                </pic:pic>
              </a:graphicData>
            </a:graphic>
          </wp:inline>
        </w:drawing>
      </w:r>
    </w:p>
    <w:p>
      <w:pPr>
        <w:jc w:val="center"/>
      </w:pPr>
      <w:r>
        <w:rPr>
          <w:rFonts w:ascii="宋体" w:hAnsi="宋体" w:eastAsia="宋体"/>
          <w:b/>
          <w:sz w:val="21"/>
        </w:rPr>
        <w:t>图 5  语调可信度的异质性检验（H3）：主项与交互项系数</w:t>
      </w:r>
    </w:p>
    <w:p>
      <w:pPr>
        <w:spacing w:after="120" w:line="360" w:lineRule="auto"/>
        <w:ind w:firstLine="480"/>
      </w:pPr>
      <w:r>
        <w:rPr>
          <w:rFonts w:ascii="宋体" w:hAnsi="宋体" w:eastAsia="宋体"/>
          <w:b w:val="0"/>
          <w:sz w:val="24"/>
        </w:rPr>
        <w:t>图 5 直观呈现 H3 的两组检验结果：两个交互项系数均为正（与策略性语调假说的预期方向相反）且置信区间跨越零，说明 H3 未获支持。</w:t>
      </w:r>
    </w:p>
    <w:p>
      <w:pPr>
        <w:spacing w:after="120" w:line="360" w:lineRule="auto"/>
        <w:ind w:firstLine="480"/>
      </w:pPr>
      <w:r>
        <w:rPr>
          <w:rFonts w:ascii="宋体" w:hAnsi="宋体" w:eastAsia="宋体"/>
          <w:b/>
          <w:sz w:val="24"/>
        </w:rPr>
        <w:t>图 6  稳健性检验系数对比（Forest 图）</w:t>
      </w:r>
    </w:p>
    <w:p>
      <w:pPr>
        <w:jc w:val="center"/>
      </w:pPr>
      <w:r>
        <w:drawing>
          <wp:inline xmlns:a="http://schemas.openxmlformats.org/drawingml/2006/main" xmlns:pic="http://schemas.openxmlformats.org/drawingml/2006/picture">
            <wp:extent cx="5120640" cy="3503596"/>
            <wp:docPr id="6" name="Picture 6"/>
            <wp:cNvGraphicFramePr>
              <a:graphicFrameLocks noChangeAspect="1"/>
            </wp:cNvGraphicFramePr>
            <a:graphic>
              <a:graphicData uri="http://schemas.openxmlformats.org/drawingml/2006/picture">
                <pic:pic>
                  <pic:nvPicPr>
                    <pic:cNvPr id="0" name="fig6_forest.png"/>
                    <pic:cNvPicPr/>
                  </pic:nvPicPr>
                  <pic:blipFill>
                    <a:blip r:embed="rId14"/>
                    <a:stretch>
                      <a:fillRect/>
                    </a:stretch>
                  </pic:blipFill>
                  <pic:spPr>
                    <a:xfrm>
                      <a:off x="0" y="0"/>
                      <a:ext cx="5120640" cy="3503596"/>
                    </a:xfrm>
                    <a:prstGeom prst="rect"/>
                  </pic:spPr>
                </pic:pic>
              </a:graphicData>
            </a:graphic>
          </wp:inline>
        </w:drawing>
      </w:r>
    </w:p>
    <w:p>
      <w:pPr>
        <w:jc w:val="center"/>
      </w:pPr>
      <w:r>
        <w:rPr>
          <w:rFonts w:ascii="宋体" w:hAnsi="宋体" w:eastAsia="宋体"/>
          <w:b/>
          <w:sz w:val="21"/>
        </w:rPr>
        <w:t>图 6  稳健性检验系数对比（Forest 图）</w:t>
      </w:r>
    </w:p>
    <w:p>
      <w:pPr>
        <w:spacing w:after="120" w:line="360" w:lineRule="auto"/>
        <w:ind w:firstLine="480"/>
      </w:pPr>
      <w:r>
        <w:rPr>
          <w:rFonts w:ascii="宋体" w:hAnsi="宋体" w:eastAsia="宋体"/>
          <w:b w:val="0"/>
          <w:sz w:val="24"/>
        </w:rPr>
        <w:t>图 6 汇总了 8 项稳健性检验在两个设定下的系数估计：绝大多数估计落在零线右侧，替代测度与替代业绩设定下的系数均在零线右侧，而"剔除 2022 年"一项最接近零线，与 5.6 节的讨论一致。</w:t>
      </w:r>
    </w:p>
    <w:p>
      <w:pPr>
        <w:spacing w:before="200" w:after="160"/>
      </w:pPr>
      <w:r>
        <w:rPr>
          <w:rFonts w:ascii="黑体" w:hAnsi="黑体" w:eastAsia="黑体"/>
          <w:b/>
          <w:sz w:val="28"/>
        </w:rPr>
        <w:t>附录 B  复现说明</w:t>
      </w:r>
    </w:p>
    <w:p>
      <w:pPr>
        <w:spacing w:after="120" w:line="360" w:lineRule="auto"/>
        <w:ind w:firstLine="480"/>
      </w:pPr>
      <w:r>
        <w:rPr>
          <w:rFonts w:ascii="宋体" w:hAnsi="宋体" w:eastAsia="宋体"/>
          <w:b w:val="0"/>
          <w:sz w:val="24"/>
        </w:rPr>
        <w:t xml:space="preserve">按以下顺序执行代码即可从零重建全部结果（需 Python 3.9+，安装 </w:t>
      </w:r>
      <w:r>
        <w:rPr>
          <w:rFonts w:ascii="Consolas" w:hAnsi="Consolas" w:eastAsia="Consolas"/>
          <w:b w:val="0"/>
          <w:sz w:val="22"/>
        </w:rPr>
        <w:t>requirements.txt</w:t>
      </w:r>
      <w:r>
        <w:rPr>
          <w:rFonts w:ascii="宋体" w:hAnsi="宋体" w:eastAsia="宋体"/>
          <w:b w:val="0"/>
          <w:sz w:val="24"/>
        </w:rPr>
        <w:t xml:space="preserve"> 中的依赖）：</w:t>
      </w:r>
    </w:p>
    <w:p>
      <w:pPr>
        <w:spacing w:after="60" w:line="360" w:lineRule="auto"/>
      </w:pPr>
      <w:r>
        <w:rPr>
          <w:rFonts w:ascii="宋体" w:hAnsi="宋体" w:eastAsia="宋体"/>
          <w:b w:val="0"/>
          <w:sz w:val="24"/>
        </w:rPr>
        <w:t xml:space="preserve">1. </w:t>
      </w:r>
      <w:r>
        <w:rPr>
          <w:rFonts w:ascii="Consolas" w:hAnsi="Consolas" w:eastAsia="Consolas"/>
          <w:b w:val="0"/>
          <w:sz w:val="22"/>
        </w:rPr>
        <w:t>python code/01_download_reports.py</w:t>
      </w:r>
      <w:r>
        <w:rPr>
          <w:rFonts w:ascii="宋体" w:hAnsi="宋体" w:eastAsia="宋体"/>
          <w:b w:val="0"/>
          <w:sz w:val="24"/>
        </w:rPr>
        <w:t xml:space="preserve"> —— 从巨潮资讯网与东方财富获取年报 PDF 与财务指标（约需 10—20 分钟，取决于网络；年报 PDF 体积较大，未纳入版本库）。</w:t>
      </w:r>
    </w:p>
    <w:p>
      <w:pPr>
        <w:spacing w:after="60" w:line="360" w:lineRule="auto"/>
      </w:pPr>
      <w:r>
        <w:rPr>
          <w:rFonts w:ascii="宋体" w:hAnsi="宋体" w:eastAsia="宋体"/>
          <w:b w:val="0"/>
          <w:sz w:val="24"/>
        </w:rPr>
        <w:t xml:space="preserve">2. </w:t>
      </w:r>
      <w:r>
        <w:rPr>
          <w:rFonts w:ascii="Consolas" w:hAnsi="Consolas" w:eastAsia="Consolas"/>
          <w:b w:val="0"/>
          <w:sz w:val="22"/>
        </w:rPr>
        <w:t>python code/02_text_preprocess.py</w:t>
      </w:r>
      <w:r>
        <w:rPr>
          <w:rFonts w:ascii="宋体" w:hAnsi="宋体" w:eastAsia="宋体"/>
          <w:b w:val="0"/>
          <w:sz w:val="24"/>
        </w:rPr>
        <w:t xml:space="preserve"> —— 抽取 MD&amp;A 章节并分词，生成 </w:t>
      </w:r>
      <w:r>
        <w:rPr>
          <w:rFonts w:ascii="Consolas" w:hAnsi="Consolas" w:eastAsia="Consolas"/>
          <w:b w:val="0"/>
          <w:sz w:val="22"/>
        </w:rPr>
        <w:t>data/mdna_corpus.csv</w:t>
      </w:r>
      <w:r>
        <w:rPr>
          <w:rFonts w:ascii="宋体" w:hAnsi="宋体" w:eastAsia="宋体"/>
          <w:b w:val="0"/>
          <w:sz w:val="24"/>
        </w:rPr>
        <w:t>。</w:t>
      </w:r>
    </w:p>
    <w:p>
      <w:pPr>
        <w:spacing w:after="60" w:line="360" w:lineRule="auto"/>
      </w:pPr>
      <w:r>
        <w:rPr>
          <w:rFonts w:ascii="宋体" w:hAnsi="宋体" w:eastAsia="宋体"/>
          <w:b w:val="0"/>
          <w:sz w:val="24"/>
        </w:rPr>
        <w:t xml:space="preserve">3. </w:t>
      </w:r>
      <w:r>
        <w:rPr>
          <w:rFonts w:ascii="Consolas" w:hAnsi="Consolas" w:eastAsia="Consolas"/>
          <w:b w:val="0"/>
          <w:sz w:val="22"/>
        </w:rPr>
        <w:t>python code/03_build_measures.py</w:t>
      </w:r>
      <w:r>
        <w:rPr>
          <w:rFonts w:ascii="宋体" w:hAnsi="宋体" w:eastAsia="宋体"/>
          <w:b w:val="0"/>
          <w:sz w:val="24"/>
        </w:rPr>
        <w:t xml:space="preserve"> —— 构建三套语调测度并输出信效度检验表。</w:t>
      </w:r>
    </w:p>
    <w:p>
      <w:pPr>
        <w:spacing w:after="60" w:line="360" w:lineRule="auto"/>
      </w:pPr>
      <w:r>
        <w:rPr>
          <w:rFonts w:ascii="宋体" w:hAnsi="宋体" w:eastAsia="宋体"/>
          <w:b w:val="0"/>
          <w:sz w:val="24"/>
        </w:rPr>
        <w:t xml:space="preserve">4. </w:t>
      </w:r>
      <w:r>
        <w:rPr>
          <w:rFonts w:ascii="Consolas" w:hAnsi="Consolas" w:eastAsia="Consolas"/>
          <w:b w:val="0"/>
          <w:sz w:val="22"/>
        </w:rPr>
        <w:t>python code/04_merge_panel.py</w:t>
      </w:r>
      <w:r>
        <w:rPr>
          <w:rFonts w:ascii="宋体" w:hAnsi="宋体" w:eastAsia="宋体"/>
          <w:b w:val="0"/>
          <w:sz w:val="24"/>
        </w:rPr>
        <w:t xml:space="preserve"> —— 合并财务指标、构造 t+1 期被解释变量与分组变量，生成 </w:t>
      </w:r>
      <w:r>
        <w:rPr>
          <w:rFonts w:ascii="Consolas" w:hAnsi="Consolas" w:eastAsia="Consolas"/>
          <w:b w:val="0"/>
          <w:sz w:val="22"/>
        </w:rPr>
        <w:t>output/tone_panel.csv</w:t>
      </w:r>
      <w:r>
        <w:rPr>
          <w:rFonts w:ascii="宋体" w:hAnsi="宋体" w:eastAsia="宋体"/>
          <w:b w:val="0"/>
          <w:sz w:val="24"/>
        </w:rPr>
        <w:t>。</w:t>
      </w:r>
    </w:p>
    <w:p>
      <w:pPr>
        <w:spacing w:after="60" w:line="360" w:lineRule="auto"/>
      </w:pPr>
      <w:r>
        <w:rPr>
          <w:rFonts w:ascii="宋体" w:hAnsi="宋体" w:eastAsia="宋体"/>
          <w:b w:val="0"/>
          <w:sz w:val="24"/>
        </w:rPr>
        <w:t xml:space="preserve">5. </w:t>
      </w:r>
      <w:r>
        <w:rPr>
          <w:rFonts w:ascii="Consolas" w:hAnsi="Consolas" w:eastAsia="Consolas"/>
          <w:b w:val="0"/>
          <w:sz w:val="22"/>
        </w:rPr>
        <w:t>python code/05_analysis.py</w:t>
      </w:r>
      <w:r>
        <w:rPr>
          <w:rFonts w:ascii="宋体" w:hAnsi="宋体" w:eastAsia="宋体"/>
          <w:b w:val="0"/>
          <w:sz w:val="24"/>
        </w:rPr>
        <w:t xml:space="preserve"> —— 描述统计、相关分析、基准回归与交互项检验，输出表 4—表 7 与图 1—图 3。</w:t>
      </w:r>
    </w:p>
    <w:p>
      <w:pPr>
        <w:spacing w:after="60" w:line="360" w:lineRule="auto"/>
      </w:pPr>
      <w:r>
        <w:rPr>
          <w:rFonts w:ascii="宋体" w:hAnsi="宋体" w:eastAsia="宋体"/>
          <w:b w:val="0"/>
          <w:sz w:val="24"/>
        </w:rPr>
        <w:t xml:space="preserve">6. </w:t>
      </w:r>
      <w:r>
        <w:rPr>
          <w:rFonts w:ascii="Consolas" w:hAnsi="Consolas" w:eastAsia="Consolas"/>
          <w:b w:val="0"/>
          <w:sz w:val="22"/>
        </w:rPr>
        <w:t>python code/06_robustness.py</w:t>
      </w:r>
      <w:r>
        <w:rPr>
          <w:rFonts w:ascii="宋体" w:hAnsi="宋体" w:eastAsia="宋体"/>
          <w:b w:val="0"/>
          <w:sz w:val="24"/>
        </w:rPr>
        <w:t xml:space="preserve"> —— 稳健性检验与安慰剂检验，输出表 8—表 9 与图 4—图 6。</w:t>
      </w:r>
    </w:p>
    <w:p>
      <w:pPr>
        <w:spacing w:after="60" w:line="360" w:lineRule="auto"/>
      </w:pPr>
      <w:r>
        <w:rPr>
          <w:rFonts w:ascii="宋体" w:hAnsi="宋体" w:eastAsia="宋体"/>
          <w:b w:val="0"/>
          <w:sz w:val="24"/>
        </w:rPr>
        <w:t xml:space="preserve">7. </w:t>
      </w:r>
      <w:r>
        <w:rPr>
          <w:rFonts w:ascii="Consolas" w:hAnsi="Consolas" w:eastAsia="Consolas"/>
          <w:b w:val="0"/>
          <w:sz w:val="22"/>
        </w:rPr>
        <w:t>python code/07_export_docx.py</w:t>
      </w:r>
      <w:r>
        <w:rPr>
          <w:rFonts w:ascii="宋体" w:hAnsi="宋体" w:eastAsia="宋体"/>
          <w:b w:val="0"/>
          <w:sz w:val="24"/>
        </w:rPr>
        <w:t xml:space="preserve"> —— 将本 Markdown 源导出为 </w:t>
      </w:r>
      <w:r>
        <w:rPr>
          <w:rFonts w:ascii="Consolas" w:hAnsi="Consolas" w:eastAsia="Consolas"/>
          <w:b w:val="0"/>
          <w:sz w:val="22"/>
        </w:rPr>
        <w:t>thesis/thesis.docx</w:t>
      </w:r>
      <w:r>
        <w:rPr>
          <w:rFonts w:ascii="宋体" w:hAnsi="宋体" w:eastAsia="宋体"/>
          <w:b w:val="0"/>
          <w:sz w:val="24"/>
        </w:rPr>
        <w:t>。</w:t>
      </w:r>
    </w:p>
    <w:p>
      <w:pPr>
        <w:spacing w:after="120" w:line="360" w:lineRule="auto"/>
        <w:ind w:firstLine="480"/>
      </w:pPr>
      <w:r>
        <w:rPr>
          <w:rFonts w:ascii="宋体" w:hAnsi="宋体" w:eastAsia="宋体"/>
          <w:b w:val="0"/>
          <w:sz w:val="24"/>
        </w:rPr>
        <w:t>其中第 3—7 步可在已有数据文件的前提下独立重跑，无需重复下载年报。所有随机过程均固定随机种子（机器学习分类器 42、安慰剂置换 2026），结果可精确复现。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