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EEEB7" w14:textId="2A5891D6" w:rsidR="00EF11D8" w:rsidRDefault="008B7C3D" w:rsidP="00BE3988">
      <w:pPr>
        <w:pBdr>
          <w:bottom w:val="single" w:sz="6" w:space="1" w:color="auto"/>
        </w:pBdr>
        <w:spacing w:before="240" w:line="360" w:lineRule="auto"/>
        <w:jc w:val="center"/>
        <w:rPr>
          <w:b/>
          <w:bCs/>
          <w:sz w:val="28"/>
          <w:szCs w:val="28"/>
        </w:rPr>
        <w:shd w:val="clear" w:color="auto" w:fill="FFF2CC"/>
      </w:pPr>
      <w:r w:rsidRPr="00EF11D8">
        <w:rPr>
          <w:b/>
          <w:bCs/>
          <w:sz w:val="28"/>
          <w:szCs w:val="28"/>
        </w:rPr>
        <w:t>Omdia RFI</w:t>
      </w:r>
    </w:p>
    <w:p w14:paraId="3DADF6F2" w14:textId="1D8A1BEF" w:rsidR="00BE3988" w:rsidRPr="00EF11D8" w:rsidRDefault="006970CA" w:rsidP="00BE3988">
      <w:pPr>
        <w:pBdr>
          <w:bottom w:val="single" w:sz="6" w:space="1" w:color="auto"/>
        </w:pBdr>
        <w:spacing w:before="240" w:line="360" w:lineRule="auto"/>
        <w:jc w:val="center"/>
        <w:rPr>
          <w:b/>
          <w:bCs/>
          <w:sz w:val="28"/>
          <w:szCs w:val="28"/>
        </w:rPr>
        <w:shd w:val="clear" w:color="auto" w:fill="FFF2CC"/>
      </w:pPr>
      <w:r w:rsidRPr="00EF11D8">
        <w:rPr>
          <w:b/>
          <w:bCs/>
          <w:sz w:val="28"/>
          <w:szCs w:val="28"/>
        </w:rPr>
        <w:t xml:space="preserve">Market Radar: </w:t>
      </w:r>
      <w:r w:rsidR="00C45F83">
        <w:rPr>
          <w:rFonts w:hint="eastAsia"/>
          <w:b/>
          <w:bCs/>
          <w:sz w:val="28"/>
          <w:szCs w:val="28"/>
        </w:rPr>
        <w:t>Cloud</w:t>
      </w:r>
      <w:r w:rsidRPr="00EF11D8">
        <w:rPr>
          <w:b/>
          <w:bCs/>
          <w:sz w:val="28"/>
          <w:szCs w:val="28"/>
        </w:rPr>
        <w:t xml:space="preserve"> for </w:t>
      </w:r>
      <w:r w:rsidR="008B7C3D" w:rsidRPr="00EF11D8">
        <w:rPr>
          <w:b/>
          <w:bCs/>
          <w:sz w:val="28"/>
          <w:szCs w:val="28"/>
        </w:rPr>
        <w:t>Chinese Enterprise Going Global</w:t>
      </w:r>
      <w:r w:rsidRPr="00EF11D8">
        <w:rPr>
          <w:b/>
          <w:bCs/>
          <w:sz w:val="28"/>
          <w:szCs w:val="28"/>
        </w:rPr>
        <w:t>, 2026</w:t>
      </w:r>
    </w:p>
    <w:p w14:paraId="23E05725" w14:textId="5E59B888" w:rsidR="00EF11D8" w:rsidRPr="00EF11D8" w:rsidRDefault="00EF11D8" w:rsidP="00BE3988">
      <w:pPr>
        <w:pBdr>
          <w:bottom w:val="single" w:sz="6" w:space="1" w:color="auto"/>
        </w:pBdr>
        <w:spacing w:before="240" w:line="360" w:lineRule="auto"/>
        <w:jc w:val="center"/>
        <w:shd w:val="clear" w:color="auto" w:fill="FFF2CC"/>
      </w:pPr>
      <w:r w:rsidRPr="00EF11D8">
        <w:t xml:space="preserve">This </w:t>
      </w:r>
      <w:r>
        <w:rPr>
          <w:rFonts w:hint="eastAsia"/>
        </w:rPr>
        <w:t>RFI</w:t>
      </w:r>
      <w:r w:rsidRPr="00EF11D8">
        <w:t xml:space="preserve"> evaluates cloud service providers' core capabilities in the "Chinese Enterprises Going Global" scenario. Please provide professional, detailed responses based on your company's actual operations. All information is strictly confidential and used solely for capability assessment.</w:t>
      </w:r>
    </w:p>
    <w:p w14:paraId="388E3B61" w14:textId="303DE4B7" w:rsidR="005B0FE3" w:rsidRPr="00EF11D8" w:rsidRDefault="006970CA" w:rsidP="00EF11D8">
      <w:pPr>
        <w:pStyle w:val="ListParagraph"/>
        <w:numPr>
          <w:ilvl w:val="0"/>
          <w:numId w:val="2"/>
        </w:numPr>
        <w:jc w:val="center"/>
        <w:rPr>
          <w:b/>
          <w:bCs/>
        </w:rPr>
        <w:shd w:val="clear" w:color="auto" w:fill="FFF2CC"/>
      </w:pPr>
      <w:r w:rsidRPr="00EF11D8">
        <w:rPr>
          <w:b/>
          <w:bCs/>
        </w:rPr>
        <w:t>Indicators for vendor assessment</w:t>
      </w:r>
    </w:p>
    <w:tbl>
      <w:tblPr>
        <w:tblStyle w:val="GridTable2-Accent1"/>
        <w:tblpPr w:leftFromText="180" w:rightFromText="180" w:vertAnchor="text" w:horzAnchor="page" w:tblpX="801" w:tblpY="51"/>
        <w:tblW w:w="5000" w:type="pct"/>
        <w:tblLook w:val="04A0" w:firstRow="1" w:lastRow="0" w:firstColumn="1" w:lastColumn="0" w:noHBand="0" w:noVBand="1"/>
      </w:tblPr>
      <w:tblGrid>
        <w:gridCol w:w="4320"/>
        <w:gridCol w:w="6146"/>
      </w:tblGrid>
      <w:tr w:rsidR="002156B8" w:rsidRPr="00C45F83" w14:paraId="60B9AFC1" w14:textId="66BE9BA8" w:rsidTr="00C45F83">
        <w:trPr>
          <w:cnfStyle w:val="100000000000" w:firstRow="1" w:lastRow="0" w:firstColumn="0" w:lastColumn="0" w:oddVBand="0" w:evenVBand="0" w:oddHBand="0"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2064" w:type="pct"/>
            <w:shd w:val="clear" w:color="auto" w:fill="156082" w:themeFill="accent1"/>
            <w:noWrap/>
            <w:vAlign w:val="center"/>
            <w:hideMark/>
          </w:tcPr>
          <w:p w14:paraId="71850DAB" w14:textId="77777777" w:rsidR="002156B8" w:rsidRPr="00C45F83" w:rsidRDefault="002156B8" w:rsidP="00CD7938">
            <w:pPr>
              <w:jc w:val="center"/>
              <w:rPr>
                <w:rFonts w:eastAsia="Microsoft YaHei" w:cs="Microsoft YaHei"/>
                <w:b w:val="0"/>
                <w:bCs w:val="0"/>
                <w:caps/>
                <w:color w:val="FFFFFF" w:themeColor="background1"/>
                <w:kern w:val="0"/>
                <w:sz w:val="20"/>
                <w:szCs w:val="20"/>
                <w14:ligatures w14:val="none"/>
              </w:rPr>
            </w:pPr>
            <w:r w:rsidRPr="00C45F83">
              <w:rPr>
                <w:rFonts w:eastAsia="Microsoft YaHei" w:cs="Microsoft YaHei"/>
                <w:color w:val="FFFFFF" w:themeColor="background1"/>
                <w:kern w:val="0"/>
                <w:sz w:val="20"/>
                <w:szCs w:val="20"/>
                <w14:ligatures w14:val="none"/>
              </w:rPr>
              <w:t>Indicators</w:t>
            </w:r>
          </w:p>
        </w:tc>
        <w:tc>
          <w:tcPr>
            <w:tcW w:w="2936" w:type="pct"/>
            <w:shd w:val="clear" w:color="auto" w:fill="156082" w:themeFill="accent1"/>
            <w:vAlign w:val="center"/>
          </w:tcPr>
          <w:p w14:paraId="39665B44" w14:textId="1B30B420" w:rsidR="002156B8" w:rsidRPr="00C45F83" w:rsidRDefault="002156B8" w:rsidP="00CD7938">
            <w:pPr>
              <w:jc w:val="center"/>
              <w:cnfStyle w:val="100000000000" w:firstRow="1" w:lastRow="0" w:firstColumn="0" w:lastColumn="0" w:oddVBand="0" w:evenVBand="0" w:oddHBand="0" w:evenHBand="0" w:firstRowFirstColumn="0" w:firstRowLastColumn="0" w:lastRowFirstColumn="0" w:lastRowLastColumn="0"/>
              <w:rPr>
                <w:rFonts w:eastAsia="Microsoft YaHei" w:cs="Microsoft YaHei"/>
                <w:color w:val="FFFFFF" w:themeColor="background1"/>
                <w:kern w:val="0"/>
                <w:sz w:val="20"/>
                <w:szCs w:val="20"/>
                <w14:ligatures w14:val="none"/>
              </w:rPr>
            </w:pPr>
            <w:r w:rsidRPr="00C45F83">
              <w:rPr>
                <w:rFonts w:eastAsia="Microsoft YaHei" w:cs="Microsoft YaHei"/>
                <w:color w:val="FFFFFF" w:themeColor="background1"/>
                <w:kern w:val="0"/>
                <w:sz w:val="20"/>
                <w:szCs w:val="20"/>
                <w14:ligatures w14:val="none"/>
              </w:rPr>
              <w:t>Description</w:t>
            </w:r>
          </w:p>
        </w:tc>
      </w:tr>
      <w:tr w:rsidR="005B0FE3" w:rsidRPr="00C45F83" w14:paraId="5B5149BD" w14:textId="26C81460" w:rsidTr="00C45F83">
        <w:trPr>
          <w:cnfStyle w:val="000000100000" w:firstRow="0" w:lastRow="0" w:firstColumn="0" w:lastColumn="0" w:oddVBand="0" w:evenVBand="0" w:oddHBand="1" w:evenHBand="0" w:firstRowFirstColumn="0" w:firstRowLastColumn="0" w:lastRowFirstColumn="0" w:lastRowLastColumn="0"/>
          <w:trHeight w:val="1565"/>
        </w:trPr>
        <w:tc>
          <w:tcPr>
            <w:cnfStyle w:val="001000000000" w:firstRow="0" w:lastRow="0" w:firstColumn="1" w:lastColumn="0" w:oddVBand="0" w:evenVBand="0" w:oddHBand="0" w:evenHBand="0" w:firstRowFirstColumn="0" w:firstRowLastColumn="0" w:lastRowFirstColumn="0" w:lastRowLastColumn="0"/>
            <w:tcW w:w="2064" w:type="pct"/>
            <w:noWrap/>
            <w:vAlign w:val="center"/>
            <w:hideMark/>
          </w:tcPr>
          <w:p w14:paraId="58D589BF" w14:textId="77777777" w:rsidR="005B0FE3" w:rsidRPr="00C45F83" w:rsidRDefault="005B0FE3" w:rsidP="00CD7938">
            <w:pPr>
              <w:rPr>
                <w:rFonts w:eastAsia="Microsoft YaHei" w:cs="Microsoft YaHei"/>
                <w:b w:val="0"/>
                <w:bCs w:val="0"/>
                <w:color w:val="000000"/>
                <w:kern w:val="0"/>
                <w:sz w:val="20"/>
                <w:szCs w:val="20"/>
                <w14:ligatures w14:val="none"/>
              </w:rPr>
            </w:pPr>
            <w:r w:rsidRPr="00C45F83">
              <w:rPr>
                <w:rFonts w:eastAsia="Microsoft YaHei" w:cs="Microsoft YaHei"/>
                <w:color w:val="000000"/>
                <w:kern w:val="0"/>
                <w:sz w:val="20"/>
                <w:szCs w:val="20"/>
                <w14:ligatures w14:val="none"/>
              </w:rPr>
              <w:t>Global Infrastructure Layout</w:t>
            </w:r>
          </w:p>
          <w:p w14:paraId="63AEC621" w14:textId="5C9D2019" w:rsidR="00C45F83" w:rsidRPr="00C45F83" w:rsidRDefault="00C45F83" w:rsidP="00CD7938">
            <w:pPr>
              <w:rPr>
                <w:rFonts w:eastAsia="Times New Roman" w:cs="Arial"/>
                <w:color w:val="000000"/>
                <w:kern w:val="0"/>
                <w:sz w:val="20"/>
                <w:szCs w:val="20"/>
                <w14:ligatures w14:val="none"/>
              </w:rPr>
            </w:pPr>
            <w:r w:rsidRPr="00C45F83">
              <w:rPr>
                <w:rFonts w:eastAsia="SimSun" w:cs="SimSun"/>
                <w:color w:val="000000"/>
                <w:kern w:val="0"/>
                <w:sz w:val="20"/>
                <w:szCs w:val="20"/>
                <w14:ligatures w14:val="none"/>
              </w:rPr>
              <w:t>全球基础设施布局能力</w:t>
            </w:r>
          </w:p>
        </w:tc>
        <w:tc>
          <w:tcPr>
            <w:tcW w:w="2936" w:type="pct"/>
            <w:vAlign w:val="center"/>
          </w:tcPr>
          <w:p w14:paraId="43F1C884" w14:textId="77777777" w:rsidR="005B0FE3" w:rsidRPr="00C45F83" w:rsidRDefault="005B0FE3" w:rsidP="00CD7938">
            <w:pPr>
              <w:cnfStyle w:val="000000100000" w:firstRow="0" w:lastRow="0" w:firstColumn="0" w:lastColumn="0" w:oddVBand="0" w:evenVBand="0" w:oddHBand="1" w:evenHBand="0" w:firstRowFirstColumn="0" w:firstRowLastColumn="0" w:lastRowFirstColumn="0" w:lastRowLastColumn="0"/>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Breadth and depth of backbone network and data center coverage in target overseas markets.</w:t>
            </w:r>
          </w:p>
          <w:p w14:paraId="64C26417" w14:textId="5233951F" w:rsidR="00C45F83" w:rsidRPr="00C45F83" w:rsidRDefault="00C45F83" w:rsidP="00CD7938">
            <w:pPr>
              <w:cnfStyle w:val="000000100000" w:firstRow="0" w:lastRow="0" w:firstColumn="0" w:lastColumn="0" w:oddVBand="0" w:evenVBand="0" w:oddHBand="1" w:evenHBand="0" w:firstRowFirstColumn="0" w:firstRowLastColumn="0" w:lastRowFirstColumn="0" w:lastRowLastColumn="0"/>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骨干网与数据中心在目标海外市场的覆盖广度与深度。</w:t>
            </w:r>
          </w:p>
        </w:tc>
      </w:tr>
      <w:tr w:rsidR="008B7C3D" w:rsidRPr="00C45F83" w14:paraId="75F90C5F" w14:textId="77777777" w:rsidTr="00C45F83">
        <w:trPr>
          <w:trHeight w:val="1565"/>
        </w:trPr>
        <w:tc>
          <w:tcPr>
            <w:cnfStyle w:val="001000000000" w:firstRow="0" w:lastRow="0" w:firstColumn="1" w:lastColumn="0" w:oddVBand="0" w:evenVBand="0" w:oddHBand="0" w:evenHBand="0" w:firstRowFirstColumn="0" w:firstRowLastColumn="0" w:lastRowFirstColumn="0" w:lastRowLastColumn="0"/>
            <w:tcW w:w="2064" w:type="pct"/>
            <w:noWrap/>
            <w:vAlign w:val="center"/>
          </w:tcPr>
          <w:p w14:paraId="33CB73A6" w14:textId="77777777" w:rsidR="008B7C3D" w:rsidRPr="00C45F83" w:rsidRDefault="008B7C3D" w:rsidP="008B7C3D">
            <w:pPr>
              <w:rPr>
                <w:rFonts w:eastAsia="Microsoft YaHei" w:cs="Microsoft YaHei"/>
                <w:b w:val="0"/>
                <w:bCs w:val="0"/>
                <w:color w:val="000000"/>
                <w:kern w:val="0"/>
                <w:sz w:val="20"/>
                <w:szCs w:val="20"/>
                <w14:ligatures w14:val="none"/>
              </w:rPr>
            </w:pPr>
            <w:r w:rsidRPr="00C45F83">
              <w:rPr>
                <w:rFonts w:eastAsia="Microsoft YaHei" w:cs="Microsoft YaHei"/>
                <w:color w:val="000000"/>
                <w:kern w:val="0"/>
                <w:sz w:val="20"/>
                <w:szCs w:val="20"/>
                <w14:ligatures w14:val="none"/>
              </w:rPr>
              <w:t>Global Full-stack AI Capabilities </w:t>
            </w:r>
          </w:p>
          <w:p w14:paraId="7EE7953B" w14:textId="47D60CB8" w:rsidR="00C45F83" w:rsidRPr="00C45F83" w:rsidRDefault="00C45F83" w:rsidP="008B7C3D">
            <w:pPr>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全球</w:t>
            </w:r>
            <w:r w:rsidRPr="00C45F83">
              <w:rPr>
                <w:rFonts w:eastAsia="Microsoft YaHei" w:cs="Microsoft YaHei"/>
                <w:color w:val="000000"/>
                <w:kern w:val="0"/>
                <w:sz w:val="20"/>
                <w:szCs w:val="20"/>
                <w14:ligatures w14:val="none"/>
              </w:rPr>
              <w:t>AI</w:t>
            </w:r>
            <w:r w:rsidRPr="00C45F83">
              <w:rPr>
                <w:rFonts w:eastAsia="Microsoft YaHei" w:cs="Microsoft YaHei"/>
                <w:color w:val="000000"/>
                <w:kern w:val="0"/>
                <w:sz w:val="20"/>
                <w:szCs w:val="20"/>
                <w14:ligatures w14:val="none"/>
              </w:rPr>
              <w:t>全站能力</w:t>
            </w:r>
          </w:p>
        </w:tc>
        <w:tc>
          <w:tcPr>
            <w:tcW w:w="2936" w:type="pct"/>
            <w:vAlign w:val="center"/>
          </w:tcPr>
          <w:p w14:paraId="7E1564F4" w14:textId="77777777" w:rsidR="008B7C3D" w:rsidRPr="00C45F83" w:rsidRDefault="008B7C3D" w:rsidP="008B7C3D">
            <w:pPr>
              <w:cnfStyle w:val="000000000000" w:firstRow="0" w:lastRow="0" w:firstColumn="0" w:lastColumn="0" w:oddVBand="0" w:evenVBand="0" w:oddHBand="0" w:evenHBand="0" w:firstRowFirstColumn="0" w:firstRowLastColumn="0" w:lastRowFirstColumn="0" w:lastRowLastColumn="0"/>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One-stop Gen-AI enablement globally, spanning from underlying compute power and large model hosting to AI applications.</w:t>
            </w:r>
          </w:p>
          <w:p w14:paraId="1554EC47" w14:textId="064B1A50" w:rsidR="00C45F83" w:rsidRPr="00C45F83" w:rsidRDefault="00C45F83" w:rsidP="008B7C3D">
            <w:pPr>
              <w:cnfStyle w:val="000000000000" w:firstRow="0" w:lastRow="0" w:firstColumn="0" w:lastColumn="0" w:oddVBand="0" w:evenVBand="0" w:oddHBand="0" w:evenHBand="0" w:firstRowFirstColumn="0" w:firstRowLastColumn="0" w:lastRowFirstColumn="0" w:lastRowLastColumn="0"/>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在全球范围内，能够提供从底层算力、大模型托管到上层</w:t>
            </w:r>
            <w:r w:rsidRPr="00C45F83">
              <w:rPr>
                <w:rFonts w:eastAsia="Microsoft YaHei" w:cs="Microsoft YaHei"/>
                <w:color w:val="000000"/>
                <w:kern w:val="0"/>
                <w:sz w:val="20"/>
                <w:szCs w:val="20"/>
                <w14:ligatures w14:val="none"/>
              </w:rPr>
              <w:t>AI</w:t>
            </w:r>
            <w:r w:rsidRPr="00C45F83">
              <w:rPr>
                <w:rFonts w:eastAsia="Microsoft YaHei" w:cs="Microsoft YaHei"/>
                <w:color w:val="000000"/>
                <w:kern w:val="0"/>
                <w:sz w:val="20"/>
                <w:szCs w:val="20"/>
                <w14:ligatures w14:val="none"/>
              </w:rPr>
              <w:t>应用的一站式生成式</w:t>
            </w:r>
            <w:r w:rsidRPr="00C45F83">
              <w:rPr>
                <w:rFonts w:eastAsia="Microsoft YaHei" w:cs="Microsoft YaHei"/>
                <w:color w:val="000000"/>
                <w:kern w:val="0"/>
                <w:sz w:val="20"/>
                <w:szCs w:val="20"/>
                <w14:ligatures w14:val="none"/>
              </w:rPr>
              <w:t>AI</w:t>
            </w:r>
            <w:r w:rsidRPr="00C45F83">
              <w:rPr>
                <w:rFonts w:eastAsia="Microsoft YaHei" w:cs="Microsoft YaHei"/>
                <w:color w:val="000000"/>
                <w:kern w:val="0"/>
                <w:sz w:val="20"/>
                <w:szCs w:val="20"/>
                <w14:ligatures w14:val="none"/>
              </w:rPr>
              <w:t>赋能。</w:t>
            </w:r>
          </w:p>
        </w:tc>
      </w:tr>
      <w:tr w:rsidR="008B7C3D" w:rsidRPr="00C45F83" w14:paraId="00E13768" w14:textId="77777777" w:rsidTr="00C45F83">
        <w:trPr>
          <w:cnfStyle w:val="000000100000" w:firstRow="0" w:lastRow="0" w:firstColumn="0" w:lastColumn="0" w:oddVBand="0" w:evenVBand="0" w:oddHBand="1" w:evenHBand="0" w:firstRowFirstColumn="0" w:firstRowLastColumn="0" w:lastRowFirstColumn="0" w:lastRowLastColumn="0"/>
          <w:trHeight w:val="1565"/>
        </w:trPr>
        <w:tc>
          <w:tcPr>
            <w:cnfStyle w:val="001000000000" w:firstRow="0" w:lastRow="0" w:firstColumn="1" w:lastColumn="0" w:oddVBand="0" w:evenVBand="0" w:oddHBand="0" w:evenHBand="0" w:firstRowFirstColumn="0" w:firstRowLastColumn="0" w:lastRowFirstColumn="0" w:lastRowLastColumn="0"/>
            <w:tcW w:w="2064" w:type="pct"/>
            <w:noWrap/>
            <w:vAlign w:val="center"/>
          </w:tcPr>
          <w:p w14:paraId="7E021032" w14:textId="77777777" w:rsidR="008B7C3D" w:rsidRPr="00C45F83" w:rsidRDefault="008B7C3D" w:rsidP="008B7C3D">
            <w:pPr>
              <w:rPr>
                <w:rFonts w:eastAsia="Microsoft YaHei" w:cs="Microsoft YaHei"/>
                <w:b w:val="0"/>
                <w:bCs w:val="0"/>
                <w:color w:val="000000"/>
                <w:kern w:val="0"/>
                <w:sz w:val="20"/>
                <w:szCs w:val="20"/>
                <w14:ligatures w14:val="none"/>
              </w:rPr>
            </w:pPr>
            <w:r w:rsidRPr="00C45F83">
              <w:rPr>
                <w:rFonts w:eastAsia="Microsoft YaHei" w:cs="Microsoft YaHei"/>
                <w:color w:val="000000"/>
                <w:kern w:val="0"/>
                <w:sz w:val="20"/>
                <w:szCs w:val="20"/>
                <w14:ligatures w14:val="none"/>
              </w:rPr>
              <w:t>Global Ecosystem</w:t>
            </w:r>
          </w:p>
          <w:p w14:paraId="24E6D710" w14:textId="256858FF" w:rsidR="00C45F83" w:rsidRPr="00C45F83" w:rsidRDefault="00C45F83" w:rsidP="008B7C3D">
            <w:pPr>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全球生态伙伴体系能力</w:t>
            </w:r>
          </w:p>
        </w:tc>
        <w:tc>
          <w:tcPr>
            <w:tcW w:w="2936" w:type="pct"/>
            <w:vAlign w:val="center"/>
          </w:tcPr>
          <w:p w14:paraId="3F092D06" w14:textId="4B5045D5" w:rsidR="008B7C3D" w:rsidRPr="00C45F83" w:rsidRDefault="008B7C3D" w:rsidP="008B7C3D">
            <w:pPr>
              <w:cnfStyle w:val="000000100000" w:firstRow="0" w:lastRow="0" w:firstColumn="0" w:lastColumn="0" w:oddVBand="0" w:evenVBand="0" w:oddHBand="1" w:evenHBand="0" w:firstRowFirstColumn="0" w:firstRowLastColumn="0" w:lastRowFirstColumn="0" w:lastRowLastColumn="0"/>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A third-party joint service network built around the cloud platform</w:t>
            </w:r>
            <w:r w:rsidR="00C45F83" w:rsidRPr="00C45F83">
              <w:rPr>
                <w:rFonts w:eastAsia="Microsoft YaHei" w:cs="Microsoft YaHei"/>
                <w:color w:val="000000"/>
                <w:kern w:val="0"/>
                <w:sz w:val="20"/>
                <w:szCs w:val="20"/>
                <w14:ligatures w14:val="none"/>
              </w:rPr>
              <w:t>. Such as ISV, SaaS, consulting groups</w:t>
            </w:r>
          </w:p>
          <w:p w14:paraId="46D55315" w14:textId="7F51AF23" w:rsidR="00C45F83" w:rsidRPr="00C45F83" w:rsidRDefault="00C45F83" w:rsidP="008B7C3D">
            <w:pPr>
              <w:cnfStyle w:val="000000100000" w:firstRow="0" w:lastRow="0" w:firstColumn="0" w:lastColumn="0" w:oddVBand="0" w:evenVBand="0" w:oddHBand="1" w:evenHBand="0" w:firstRowFirstColumn="0" w:firstRowLastColumn="0" w:lastRowFirstColumn="0" w:lastRowLastColumn="0"/>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围绕云平台构建的咨询、</w:t>
            </w:r>
            <w:r w:rsidRPr="00C45F83">
              <w:rPr>
                <w:rFonts w:eastAsia="Microsoft YaHei" w:cs="Microsoft YaHei"/>
                <w:color w:val="000000"/>
                <w:kern w:val="0"/>
                <w:sz w:val="20"/>
                <w:szCs w:val="20"/>
                <w14:ligatures w14:val="none"/>
              </w:rPr>
              <w:t>ISV</w:t>
            </w:r>
            <w:r w:rsidRPr="00C45F83">
              <w:rPr>
                <w:rFonts w:eastAsia="Microsoft YaHei" w:cs="Microsoft YaHei"/>
                <w:color w:val="000000"/>
                <w:kern w:val="0"/>
                <w:sz w:val="20"/>
                <w:szCs w:val="20"/>
                <w14:ligatures w14:val="none"/>
              </w:rPr>
              <w:t>、</w:t>
            </w:r>
            <w:r w:rsidRPr="00C45F83">
              <w:rPr>
                <w:rFonts w:eastAsia="Microsoft YaHei" w:cs="Microsoft YaHei"/>
                <w:color w:val="000000"/>
                <w:kern w:val="0"/>
                <w:sz w:val="20"/>
                <w:szCs w:val="20"/>
                <w14:ligatures w14:val="none"/>
              </w:rPr>
              <w:t>SaaS</w:t>
            </w:r>
            <w:r w:rsidRPr="00C45F83">
              <w:rPr>
                <w:rFonts w:eastAsia="Microsoft YaHei" w:cs="Microsoft YaHei"/>
                <w:color w:val="000000"/>
                <w:kern w:val="0"/>
                <w:sz w:val="20"/>
                <w:szCs w:val="20"/>
                <w14:ligatures w14:val="none"/>
              </w:rPr>
              <w:t>等第三方联合服务网络。</w:t>
            </w:r>
          </w:p>
        </w:tc>
      </w:tr>
      <w:tr w:rsidR="00C45F83" w:rsidRPr="00C45F83" w14:paraId="2F68DAAA" w14:textId="77777777" w:rsidTr="00C45F83">
        <w:trPr>
          <w:trHeight w:val="1565"/>
        </w:trPr>
        <w:tc>
          <w:tcPr>
            <w:cnfStyle w:val="001000000000" w:firstRow="0" w:lastRow="0" w:firstColumn="1" w:lastColumn="0" w:oddVBand="0" w:evenVBand="0" w:oddHBand="0" w:evenHBand="0" w:firstRowFirstColumn="0" w:firstRowLastColumn="0" w:lastRowFirstColumn="0" w:lastRowLastColumn="0"/>
            <w:tcW w:w="2064" w:type="pct"/>
            <w:noWrap/>
            <w:vAlign w:val="center"/>
          </w:tcPr>
          <w:p w14:paraId="3007B168" w14:textId="77777777" w:rsidR="00C45F83" w:rsidRPr="00C45F83" w:rsidRDefault="00C45F83" w:rsidP="008B7C3D">
            <w:pPr>
              <w:rPr>
                <w:rFonts w:eastAsia="Microsoft YaHei" w:cs="Microsoft YaHei"/>
                <w:b w:val="0"/>
                <w:bCs w:val="0"/>
                <w:color w:val="000000"/>
                <w:kern w:val="0"/>
                <w:sz w:val="20"/>
                <w:szCs w:val="20"/>
                <w14:ligatures w14:val="none"/>
              </w:rPr>
            </w:pPr>
            <w:r w:rsidRPr="00C45F83">
              <w:rPr>
                <w:rFonts w:eastAsia="Microsoft YaHei" w:cs="Microsoft YaHei"/>
                <w:color w:val="000000"/>
                <w:kern w:val="0"/>
                <w:sz w:val="20"/>
                <w:szCs w:val="20"/>
                <w14:ligatures w14:val="none"/>
              </w:rPr>
              <w:t>Global Operational Capabilities</w:t>
            </w:r>
          </w:p>
          <w:p w14:paraId="140BBF57" w14:textId="31AB190A" w:rsidR="00C45F83" w:rsidRPr="00C45F83" w:rsidRDefault="00C45F83" w:rsidP="008B7C3D">
            <w:pPr>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全球运营服务保障能力</w:t>
            </w:r>
          </w:p>
        </w:tc>
        <w:tc>
          <w:tcPr>
            <w:tcW w:w="2936" w:type="pct"/>
            <w:vAlign w:val="center"/>
          </w:tcPr>
          <w:p w14:paraId="098080A6" w14:textId="104A2FF2" w:rsidR="00C45F83" w:rsidRPr="00C45F83" w:rsidRDefault="00C45F83" w:rsidP="008B7C3D">
            <w:pPr>
              <w:cnfStyle w:val="000000000000" w:firstRow="0" w:lastRow="0" w:firstColumn="0" w:lastColumn="0" w:oddVBand="0" w:evenVBand="0" w:oddHBand="0" w:evenHBand="0" w:firstRowFirstColumn="0" w:firstRowLastColumn="0" w:lastRowFirstColumn="0" w:lastRowLastColumn="0"/>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 xml:space="preserve">Deliver factory-level technical support and commercial alignment in overseas markets with </w:t>
            </w:r>
            <w:proofErr w:type="gramStart"/>
            <w:r w:rsidRPr="00C45F83">
              <w:rPr>
                <w:rFonts w:eastAsia="Microsoft YaHei" w:cs="Microsoft YaHei"/>
                <w:color w:val="000000"/>
                <w:kern w:val="0"/>
                <w:sz w:val="20"/>
                <w:szCs w:val="20"/>
                <w14:ligatures w14:val="none"/>
              </w:rPr>
              <w:t>zero time</w:t>
            </w:r>
            <w:proofErr w:type="gramEnd"/>
            <w:r w:rsidRPr="00C45F83">
              <w:rPr>
                <w:rFonts w:eastAsia="Microsoft YaHei" w:cs="Microsoft YaHei"/>
                <w:color w:val="000000"/>
                <w:kern w:val="0"/>
                <w:sz w:val="20"/>
                <w:szCs w:val="20"/>
                <w14:ligatures w14:val="none"/>
              </w:rPr>
              <w:t xml:space="preserve"> lag.</w:t>
            </w:r>
          </w:p>
          <w:p w14:paraId="21B81E23" w14:textId="3727B611" w:rsidR="00C45F83" w:rsidRPr="00C45F83" w:rsidRDefault="00C45F83" w:rsidP="008B7C3D">
            <w:pPr>
              <w:cnfStyle w:val="000000000000" w:firstRow="0" w:lastRow="0" w:firstColumn="0" w:lastColumn="0" w:oddVBand="0" w:evenVBand="0" w:oddHBand="0" w:evenHBand="0" w:firstRowFirstColumn="0" w:firstRowLastColumn="0" w:lastRowFirstColumn="0" w:lastRowLastColumn="0"/>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在海外目标市场提供原厂级别、无时差的技术支持与商业对接。</w:t>
            </w:r>
          </w:p>
        </w:tc>
      </w:tr>
      <w:tr w:rsidR="008B7C3D" w:rsidRPr="00C45F83" w14:paraId="73880834" w14:textId="1086AF8F" w:rsidTr="00C45F83">
        <w:trPr>
          <w:cnfStyle w:val="000000100000" w:firstRow="0" w:lastRow="0" w:firstColumn="0" w:lastColumn="0" w:oddVBand="0" w:evenVBand="0" w:oddHBand="1" w:evenHBand="0" w:firstRowFirstColumn="0" w:firstRowLastColumn="0" w:lastRowFirstColumn="0" w:lastRowLastColumn="0"/>
          <w:trHeight w:val="1565"/>
        </w:trPr>
        <w:tc>
          <w:tcPr>
            <w:cnfStyle w:val="001000000000" w:firstRow="0" w:lastRow="0" w:firstColumn="1" w:lastColumn="0" w:oddVBand="0" w:evenVBand="0" w:oddHBand="0" w:evenHBand="0" w:firstRowFirstColumn="0" w:firstRowLastColumn="0" w:lastRowFirstColumn="0" w:lastRowLastColumn="0"/>
            <w:tcW w:w="2064" w:type="pct"/>
            <w:noWrap/>
            <w:vAlign w:val="center"/>
            <w:hideMark/>
          </w:tcPr>
          <w:p w14:paraId="44ADF59C" w14:textId="77777777" w:rsidR="008B7C3D" w:rsidRPr="00C45F83" w:rsidRDefault="008B7C3D" w:rsidP="008B7C3D">
            <w:pPr>
              <w:rPr>
                <w:rFonts w:eastAsia="Microsoft YaHei" w:cs="Microsoft YaHei"/>
                <w:b w:val="0"/>
                <w:bCs w:val="0"/>
                <w:color w:val="000000"/>
                <w:kern w:val="0"/>
                <w:sz w:val="20"/>
                <w:szCs w:val="20"/>
                <w14:ligatures w14:val="none"/>
              </w:rPr>
            </w:pPr>
            <w:r w:rsidRPr="00C45F83">
              <w:rPr>
                <w:rFonts w:eastAsia="Microsoft YaHei" w:cs="Microsoft YaHei"/>
                <w:color w:val="000000"/>
                <w:kern w:val="0"/>
                <w:sz w:val="20"/>
                <w:szCs w:val="20"/>
                <w14:ligatures w14:val="none"/>
              </w:rPr>
              <w:t>Global Security &amp; Compliance Assurance</w:t>
            </w:r>
          </w:p>
          <w:p w14:paraId="5886BF36" w14:textId="2834229D" w:rsidR="00C45F83" w:rsidRPr="00C45F83" w:rsidRDefault="00C45F83" w:rsidP="008B7C3D">
            <w:pPr>
              <w:rPr>
                <w:rFonts w:eastAsia="Times New Roman" w:cs="Arial"/>
                <w:color w:val="000000"/>
                <w:kern w:val="0"/>
                <w:sz w:val="20"/>
                <w:szCs w:val="20"/>
                <w14:ligatures w14:val="none"/>
              </w:rPr>
            </w:pPr>
            <w:r w:rsidRPr="00C45F83">
              <w:rPr>
                <w:rFonts w:eastAsia="SimSun" w:cs="SimSun"/>
                <w:color w:val="000000"/>
                <w:kern w:val="0"/>
                <w:sz w:val="20"/>
                <w:szCs w:val="20"/>
                <w14:ligatures w14:val="none"/>
              </w:rPr>
              <w:t>全球安全与合规保障能力</w:t>
            </w:r>
          </w:p>
        </w:tc>
        <w:tc>
          <w:tcPr>
            <w:tcW w:w="2936" w:type="pct"/>
            <w:vAlign w:val="center"/>
          </w:tcPr>
          <w:p w14:paraId="55538545" w14:textId="77777777" w:rsidR="008B7C3D" w:rsidRPr="00C45F83" w:rsidRDefault="008B7C3D" w:rsidP="008B7C3D">
            <w:pPr>
              <w:cnfStyle w:val="000000100000" w:firstRow="0" w:lastRow="0" w:firstColumn="0" w:lastColumn="0" w:oddVBand="0" w:evenVBand="0" w:oddHBand="1" w:evenHBand="0" w:firstRowFirstColumn="0" w:firstRowLastColumn="0" w:lastRowFirstColumn="0" w:lastRowLastColumn="0"/>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Technical and service capabilities to address data security, compliance, and privacy regulations across global regions.</w:t>
            </w:r>
          </w:p>
          <w:p w14:paraId="1A09B554" w14:textId="2FF6A86D" w:rsidR="00C45F83" w:rsidRPr="00C45F83" w:rsidRDefault="00C45F83" w:rsidP="008B7C3D">
            <w:pPr>
              <w:cnfStyle w:val="000000100000" w:firstRow="0" w:lastRow="0" w:firstColumn="0" w:lastColumn="0" w:oddVBand="0" w:evenVBand="0" w:oddHBand="1" w:evenHBand="0" w:firstRowFirstColumn="0" w:firstRowLastColumn="0" w:lastRowFirstColumn="0" w:lastRowLastColumn="0"/>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应对全球各区域的数据安全、数据合规、数据隐私法规的技术与服务能力。</w:t>
            </w:r>
          </w:p>
        </w:tc>
      </w:tr>
      <w:tr w:rsidR="008B7C3D" w:rsidRPr="00C45F83" w14:paraId="44A6D603" w14:textId="72D6B849" w:rsidTr="00C45F83">
        <w:trPr>
          <w:trHeight w:val="1565"/>
        </w:trPr>
        <w:tc>
          <w:tcPr>
            <w:cnfStyle w:val="001000000000" w:firstRow="0" w:lastRow="0" w:firstColumn="1" w:lastColumn="0" w:oddVBand="0" w:evenVBand="0" w:oddHBand="0" w:evenHBand="0" w:firstRowFirstColumn="0" w:firstRowLastColumn="0" w:lastRowFirstColumn="0" w:lastRowLastColumn="0"/>
            <w:tcW w:w="2064" w:type="pct"/>
            <w:noWrap/>
            <w:vAlign w:val="center"/>
            <w:hideMark/>
          </w:tcPr>
          <w:p w14:paraId="1FD74EAB" w14:textId="77777777" w:rsidR="008B7C3D" w:rsidRPr="00C45F83" w:rsidRDefault="008B7C3D" w:rsidP="008B7C3D">
            <w:pPr>
              <w:rPr>
                <w:rFonts w:eastAsia="Microsoft YaHei" w:cs="Microsoft YaHei"/>
                <w:b w:val="0"/>
                <w:bCs w:val="0"/>
                <w:color w:val="000000"/>
                <w:kern w:val="0"/>
                <w:sz w:val="20"/>
                <w:szCs w:val="20"/>
                <w14:ligatures w14:val="none"/>
              </w:rPr>
            </w:pPr>
            <w:r w:rsidRPr="00C45F83">
              <w:rPr>
                <w:rFonts w:eastAsia="Microsoft YaHei" w:cs="Microsoft YaHei"/>
                <w:color w:val="000000"/>
                <w:kern w:val="0"/>
                <w:sz w:val="20"/>
                <w:szCs w:val="20"/>
                <w14:ligatures w14:val="none"/>
              </w:rPr>
              <w:t>Global Vertical Solution capabilities</w:t>
            </w:r>
          </w:p>
          <w:p w14:paraId="2B6D1755" w14:textId="0AE4C36E" w:rsidR="00C45F83" w:rsidRPr="00C45F83" w:rsidRDefault="00C45F83" w:rsidP="008B7C3D">
            <w:pPr>
              <w:rPr>
                <w:rFonts w:eastAsia="Times New Roman" w:cs="Arial"/>
                <w:color w:val="000000"/>
                <w:kern w:val="0"/>
                <w:sz w:val="20"/>
                <w:szCs w:val="20"/>
                <w14:ligatures w14:val="none"/>
              </w:rPr>
            </w:pPr>
            <w:r w:rsidRPr="00C45F83">
              <w:rPr>
                <w:rFonts w:eastAsia="SimSun" w:cs="SimSun"/>
                <w:color w:val="000000"/>
                <w:kern w:val="0"/>
                <w:sz w:val="20"/>
                <w:szCs w:val="20"/>
                <w14:ligatures w14:val="none"/>
              </w:rPr>
              <w:t>全球垂直行业方案能力</w:t>
            </w:r>
          </w:p>
        </w:tc>
        <w:tc>
          <w:tcPr>
            <w:tcW w:w="2936" w:type="pct"/>
            <w:vAlign w:val="center"/>
          </w:tcPr>
          <w:p w14:paraId="60D11816" w14:textId="77777777" w:rsidR="008B7C3D" w:rsidRPr="00C45F83" w:rsidRDefault="008B7C3D" w:rsidP="008B7C3D">
            <w:pPr>
              <w:cnfStyle w:val="000000000000" w:firstRow="0" w:lastRow="0" w:firstColumn="0" w:lastColumn="0" w:oddVBand="0" w:evenVBand="0" w:oddHBand="0" w:evenHBand="0" w:firstRowFirstColumn="0" w:firstRowLastColumn="0" w:lastRowFirstColumn="0" w:lastRowLastColumn="0"/>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Deep integration into specific industry business logic, delivering a matrix of out-of-the-box scenario-based solutions.</w:t>
            </w:r>
          </w:p>
          <w:p w14:paraId="3268C640" w14:textId="132A2697" w:rsidR="00C45F83" w:rsidRPr="00C45F83" w:rsidRDefault="00C45F83" w:rsidP="008B7C3D">
            <w:pPr>
              <w:cnfStyle w:val="000000000000" w:firstRow="0" w:lastRow="0" w:firstColumn="0" w:lastColumn="0" w:oddVBand="0" w:evenVBand="0" w:oddHBand="0" w:evenHBand="0" w:firstRowFirstColumn="0" w:firstRowLastColumn="0" w:lastRowFirstColumn="0" w:lastRowLastColumn="0"/>
              <w:rPr>
                <w:rFonts w:eastAsia="Microsoft YaHei" w:cs="Microsoft YaHei"/>
                <w:color w:val="000000"/>
                <w:kern w:val="0"/>
                <w:sz w:val="20"/>
                <w:szCs w:val="20"/>
                <w14:ligatures w14:val="none"/>
              </w:rPr>
            </w:pPr>
            <w:r w:rsidRPr="00C45F83">
              <w:rPr>
                <w:rFonts w:eastAsia="Microsoft YaHei" w:cs="Microsoft YaHei"/>
                <w:color w:val="000000"/>
                <w:kern w:val="0"/>
                <w:sz w:val="20"/>
                <w:szCs w:val="20"/>
                <w14:ligatures w14:val="none"/>
              </w:rPr>
              <w:t>深入特定行业业务逻辑，提供开箱即用的场景化解决方案矩阵。</w:t>
            </w:r>
          </w:p>
        </w:tc>
      </w:tr>
    </w:tbl>
    <w:p w14:paraId="487EECF1" w14:textId="043CA2F3" w:rsidR="006970CA" w:rsidRPr="00EF11D8" w:rsidRDefault="006970CA" w:rsidP="00EF11D8">
      <w:pPr>
        <w:pStyle w:val="ListParagraph"/>
        <w:numPr>
          <w:ilvl w:val="0"/>
          <w:numId w:val="2"/>
        </w:numPr>
        <w:jc w:val="center"/>
        <w:rPr>
          <w:b/>
          <w:bCs/>
        </w:rPr>
        <w:shd w:val="clear" w:color="auto" w:fill="FFF2CC"/>
      </w:pPr>
      <w:r w:rsidRPr="00EF11D8">
        <w:rPr>
          <w:b/>
          <w:bCs/>
        </w:rPr>
        <w:lastRenderedPageBreak/>
        <w:t>Questionnaire</w:t>
      </w:r>
    </w:p>
    <w:p w14:paraId="7CB4F478" w14:textId="7020AE35" w:rsidR="00EF11D8" w:rsidRPr="00EF11D8" w:rsidRDefault="00EF11D8" w:rsidP="00EF11D8">
      <w:pPr>
        <w:rPr>
          <w:b/>
          <w:bCs/>
        </w:rPr>
        <w:shd w:val="clear" w:color="auto" w:fill="FFF2CC"/>
      </w:pPr>
      <w:r w:rsidRPr="00EF11D8">
        <w:rPr>
          <w:b/>
          <w:bCs/>
        </w:rPr>
        <w:t>I. Global Infrastructure Layout</w:t>
      </w:r>
    </w:p>
    <w:p w14:paraId="4513A20B" w14:textId="77777777" w:rsidR="00EF11D8" w:rsidRPr="00EF11D8" w:rsidRDefault="00EF11D8" w:rsidP="00EF11D8">
      <w:pPr>
        <w:numPr>
          <w:ilvl w:val="0"/>
          <w:numId w:val="12"/>
        </w:numPr>
        <w:shd w:val="clear" w:color="auto" w:fill="FFF2CC"/>
      </w:pPr>
      <w:r w:rsidRPr="00EF11D8">
        <w:t>Coverage Breadth:</w:t>
      </w:r>
      <w:r w:rsidRPr="00EF11D8">
        <w:br/>
        <w:t>List your backbone network and data center deployment in key target markets (Southeast Asia, Middle East, Europe/Americas, Latin America):</w:t>
      </w:r>
    </w:p>
    <w:p w14:paraId="1D3C62FB" w14:textId="77777777" w:rsidR="00EF11D8" w:rsidRPr="00EF11D8" w:rsidRDefault="00EF11D8" w:rsidP="00EF11D8">
      <w:pPr>
        <w:numPr>
          <w:ilvl w:val="1"/>
          <w:numId w:val="12"/>
        </w:numPr>
        <w:shd w:val="clear" w:color="auto" w:fill="FFF2CC"/>
      </w:pPr>
      <w:r w:rsidRPr="00EF11D8">
        <w:t>Number of data centers and covered countries/regions</w:t>
      </w:r>
    </w:p>
    <w:p>
      <w:pPr>
        <w:rPr>
          <w:rFonts w:ascii="Arial" w:hAnsi="Arial"/>
          <w:sz w:val="20"/>
        </w:rPr>
      </w:pPr>
      <w:r>
        <w:rPr>
          <w:rFonts w:ascii="Arial" w:hAnsi="Arial"/>
          <w:sz w:val="20"/>
          <w:color w:val="333333"/>
        </w:rPr>
        <w:t>Tencent Cloud operates 22 geographic regions with 64 availability zones globally. Outside mainland China, the footprint spans six macro-regions — Southeast Asia, Northeast Asia, Europe, North America, South America, and the Middle East — across 9 regions. The specific overseas availability zone distribution is as follows:</w:t>
      </w:r>
    </w:p>
    <w:p>
      <w:pPr>
        <w:rPr>
          <w:rFonts w:ascii="Arial" w:hAnsi="Arial"/>
          <w:sz w:val="20"/>
        </w:rPr>
      </w:pPr>
      <w:r>
        <w:rPr>
          <w:rFonts w:ascii="Arial" w:hAnsi="Arial"/>
          <w:sz w:val="20"/>
          <w:color w:val="333333"/>
        </w:rPr>
        <w:t>Southeast Asia: Singapore (4 AZs), Jakarta (3 AZs), Bangkok (2 AZs)</w:t>
      </w:r>
    </w:p>
    <w:p>
      <w:pPr>
        <w:rPr>
          <w:rFonts w:ascii="Arial" w:hAnsi="Arial"/>
          <w:sz w:val="20"/>
        </w:rPr>
      </w:pPr>
      <w:r>
        <w:rPr>
          <w:rFonts w:ascii="Arial" w:hAnsi="Arial"/>
          <w:sz w:val="20"/>
          <w:color w:val="333333"/>
        </w:rPr>
        <w:t>Northeast Asia: Seoul (2 AZs), Tokyo (2 AZs)</w:t>
      </w:r>
    </w:p>
    <w:p>
      <w:pPr>
        <w:rPr>
          <w:rFonts w:ascii="Arial" w:hAnsi="Arial"/>
          <w:sz w:val="20"/>
        </w:rPr>
      </w:pPr>
      <w:r>
        <w:rPr>
          <w:rFonts w:ascii="Arial" w:hAnsi="Arial"/>
          <w:sz w:val="20"/>
          <w:color w:val="333333"/>
        </w:rPr>
        <w:t>Middle East: Riyadh (2 AZs) — the first Middle East region, announced at LEAP 2025 with a USD 150 million investment in Saudi Arabia</w:t>
      </w:r>
    </w:p>
    <w:p>
      <w:pPr>
        <w:rPr>
          <w:rFonts w:ascii="Arial" w:hAnsi="Arial"/>
          <w:sz w:val="20"/>
        </w:rPr>
      </w:pPr>
      <w:r>
        <w:rPr>
          <w:rFonts w:ascii="Arial" w:hAnsi="Arial"/>
          <w:sz w:val="20"/>
          <w:color w:val="333333"/>
        </w:rPr>
        <w:t>Europe: Frankfurt (2 AZs)</w:t>
      </w:r>
    </w:p>
    <w:p>
      <w:pPr>
        <w:rPr>
          <w:rFonts w:ascii="Arial" w:hAnsi="Arial"/>
          <w:sz w:val="20"/>
        </w:rPr>
      </w:pPr>
      <w:r>
        <w:rPr>
          <w:rFonts w:ascii="Arial" w:hAnsi="Arial"/>
          <w:sz w:val="20"/>
          <w:color w:val="333333"/>
        </w:rPr>
        <w:t>North America: Silicon Valley (2 AZs), Virginia (2 AZs)</w:t>
      </w:r>
    </w:p>
    <w:p>
      <w:pPr>
        <w:rPr>
          <w:rFonts w:ascii="Arial" w:hAnsi="Arial"/>
          <w:sz w:val="20"/>
        </w:rPr>
      </w:pPr>
      <w:r>
        <w:rPr>
          <w:rFonts w:ascii="Arial" w:hAnsi="Arial"/>
          <w:sz w:val="20"/>
          <w:color w:val="333333"/>
        </w:rPr>
        <w:t>Latin America: São Paulo (1 AZ)</w:t>
      </w:r>
    </w:p>
    <w:p>
      <w:pPr>
        <w:rPr>
          <w:rFonts w:ascii="Arial" w:hAnsi="Arial"/>
          <w:sz w:val="20"/>
        </w:rPr>
      </w:pPr>
      <w:r>
        <w:rPr>
          <w:rFonts w:ascii="Arial" w:hAnsi="Arial"/>
          <w:sz w:val="20"/>
          <w:color w:val="333333"/>
        </w:rPr>
        <w:t>An additional 13 regions serve mainland China and Hong Kong; where customer compliance permits, these can be back-connected to overseas deployments via the China Connect solution.</w:t>
      </w:r>
    </w:p>
    <w:p>
      <w:pPr>
        <w:rPr>
          <w:rFonts w:ascii="Arial" w:hAnsi="Arial"/>
          <w:sz w:val="20"/>
        </w:rPr>
      </w:pPr>
      <w:r>
        <w:rPr>
          <w:rFonts w:ascii="Arial" w:hAnsi="Arial"/>
          <w:sz w:val="20"/>
          <w:color w:val="333333"/>
        </w:rPr>
        <w:t>Recent expansions: A third data center in Osaka, Japan is under planning; the Jakarta region has expanded from 2 to 3 AZs.</w:t>
      </w:r>
    </w:p>
    <w:p>
      <w:pPr>
        <w:rPr>
          <w:rFonts w:ascii="Arial" w:hAnsi="Arial"/>
          <w:sz w:val="20"/>
        </w:rPr>
      </w:pPr>
      <w:r>
        <w:rPr>
          <w:rFonts w:ascii="Arial" w:hAnsi="Arial"/>
          <w:sz w:val="20"/>
          <w:color w:val="333333"/>
        </w:rPr>
        <w:t>Global acceleration network: 3,200+ global acceleration nodes with 400 Tbps bandwidth reserves. Overseas services cover 80+ countries and regions across 30+ industries. The overseas customer base doubled year-on-year in 2025, reaching 20,000+ overseas enterprise customers.</w:t>
      </w:r>
    </w:p>
    <w:p>
      <w:pPr>
        <w:rPr>
          <w:rFonts w:ascii="Arial" w:hAnsi="Arial"/>
          <w:sz w:val="20"/>
        </w:rPr>
      </w:pPr>
      <w:r>
        <w:rPr>
          <w:rFonts w:ascii="Arial" w:hAnsi="Arial"/>
          <w:sz w:val="20"/>
          <w:color w:val="333333"/>
        </w:rPr>
        <w:t>Tencent Cloud maintains 11 regional offices and 9 major technical support centers globally (Jakarta, Singapore, Tokyo, Seoul, Frankfurt, among others), supplemented by 100+ global technical support touchpoints.</w:t>
      </w:r>
    </w:p>
    <w:p w14:paraId="30ADE8A3" w14:textId="77777777" w:rsidR="00EF11D8" w:rsidRPr="00EF11D8" w:rsidRDefault="00EF11D8" w:rsidP="00EF11D8">
      <w:pPr>
        <w:numPr>
          <w:ilvl w:val="1"/>
          <w:numId w:val="12"/>
        </w:numPr>
        <w:shd w:val="clear" w:color="auto" w:fill="FFF2CC"/>
      </w:pPr>
      <w:r w:rsidRPr="00EF11D8">
        <w:t>Network latency (</w:t>
      </w:r>
      <w:proofErr w:type="spellStart"/>
      <w:r w:rsidRPr="00EF11D8">
        <w:t>ms</w:t>
      </w:r>
      <w:proofErr w:type="spellEnd"/>
      <w:r w:rsidRPr="00EF11D8">
        <w:t>) and availability zone distribution</w:t>
      </w:r>
    </w:p>
    <w:p>
      <w:pPr>
        <w:rPr>
          <w:rFonts w:ascii="Arial" w:hAnsi="Arial"/>
          <w:sz w:val="20"/>
        </w:rPr>
      </w:pPr>
      <w:r>
        <w:rPr>
          <w:rFonts w:ascii="Arial" w:hAnsi="Arial"/>
          <w:sz w:val="20"/>
          <w:color w:val="333333"/>
        </w:rPr>
        <w:t>Each region is an independent geographic area containing multiple mutually isolated availability zones; different AZs within the same region are interconnected via low-latency dedicated networks. Each AZ is a physically independent IDC with independent power and networking, capable of isolating failures without impacting other AZs in the same region.</w:t>
      </w:r>
    </w:p>
    <w:p>
      <w:pPr>
        <w:rPr>
          <w:rFonts w:ascii="Arial" w:hAnsi="Arial"/>
          <w:sz w:val="20"/>
        </w:rPr>
      </w:pPr>
      <w:r>
        <w:rPr>
          <w:rFonts w:ascii="Arial" w:hAnsi="Arial"/>
          <w:sz w:val="20"/>
          <w:color w:val="333333"/>
        </w:rPr>
        <w:t>Cross-region VPC interconnection is achieved through Cloud Connect Network (CCN), establishing faster and more stable private network communication. Combined with 3,200+ global acceleration nodes and 400 Tbps bandwidth reserves, this delivers low-latency, high-stability global connectivity for enterprises going overseas.</w:t>
      </w:r>
    </w:p>
    <w:p>
      <w:pPr>
        <w:rPr>
          <w:rFonts w:ascii="Arial" w:hAnsi="Arial"/>
          <w:sz w:val="20"/>
        </w:rPr>
      </w:pPr>
      <w:r>
        <w:rPr>
          <w:rFonts w:ascii="Arial" w:hAnsi="Arial"/>
          <w:sz w:val="20"/>
          <w:color w:val="333333"/>
        </w:rPr>
        <w:t>Multi-AZ high-availability deployment: Of the 9 overseas regions, 8 have 2 or more availability zones (Singapore, Jakarta, Bangkok, Seoul, Tokyo, Silicon Valley, Virginia, Frankfurt, and Riyadh), all capable of supporting cross-AZ high-availability deployments. São Paulo currently operates as a single AZ.</w:t>
      </w:r>
    </w:p>
    <w:p w14:paraId="1AC28A90" w14:textId="77777777" w:rsidR="00EF11D8" w:rsidRPr="00EF11D8" w:rsidRDefault="00EF11D8" w:rsidP="00EF11D8">
      <w:pPr>
        <w:numPr>
          <w:ilvl w:val="1"/>
          <w:numId w:val="12"/>
        </w:numPr>
        <w:shd w:val="clear" w:color="auto" w:fill="FFF2CC"/>
      </w:pPr>
      <w:r w:rsidRPr="00EF11D8">
        <w:t>Partnership models with local telecom operators</w:t>
      </w:r>
    </w:p>
    <w:p>
      <w:pPr>
        <w:rPr>
          <w:rFonts w:ascii="Arial" w:hAnsi="Arial"/>
          <w:sz w:val="20"/>
        </w:rPr>
      </w:pPr>
      <w:r>
        <w:rPr>
          <w:rFonts w:ascii="Arial" w:hAnsi="Arial"/>
          <w:sz w:val="20"/>
          <w:color w:val="333333"/>
        </w:rPr>
        <w:t>Middle East:</w:t>
      </w:r>
    </w:p>
    <w:p>
      <w:pPr>
        <w:rPr>
          <w:rFonts w:ascii="Arial" w:hAnsi="Arial"/>
          <w:sz w:val="20"/>
        </w:rPr>
      </w:pPr>
      <w:r>
        <w:rPr>
          <w:rFonts w:ascii="Arial" w:hAnsi="Arial"/>
          <w:sz w:val="20"/>
          <w:color w:val="333333"/>
        </w:rPr>
        <w:t>Saudi Arabia — Mobily (Etihad Etisalat): In March 2024 at LEAP 2024, both parties jointly launched the "Go Saudi" project, with Tencent Cloud Enterprise (TCE) underpinning Mobily's enterprise cloud platform covering compute, database, networking, storage, and security capabilities, with Tencent Cloud Mini Program Platform (TCMPP) layered on top.</w:t>
      </w:r>
    </w:p>
    <w:p>
      <w:pPr>
        <w:rPr>
          <w:rFonts w:ascii="Arial" w:hAnsi="Arial"/>
          <w:sz w:val="20"/>
        </w:rPr>
      </w:pPr>
      <w:r>
        <w:rPr>
          <w:rFonts w:ascii="Arial" w:hAnsi="Arial"/>
          <w:sz w:val="20"/>
          <w:color w:val="333333"/>
        </w:rPr>
        <w:t>UAE — e&amp; UAE (Etisalat Group): Attended the Tencent Global Digital Ecosystem Summit (GDES) International Going-Global Summit in September 2025 as a Tencent Cloud global partner and signed a cooperation agreement.</w:t>
      </w:r>
    </w:p>
    <w:p>
      <w:pPr>
        <w:rPr>
          <w:rFonts w:ascii="Arial" w:hAnsi="Arial"/>
          <w:sz w:val="20"/>
        </w:rPr>
      </w:pPr>
      <w:r>
        <w:rPr>
          <w:rFonts w:ascii="Arial" w:hAnsi="Arial"/>
          <w:sz w:val="20"/>
          <w:color w:val="333333"/>
        </w:rPr>
        <w:t>Southeast Asia:</w:t>
      </w:r>
    </w:p>
    <w:p>
      <w:pPr>
        <w:rPr>
          <w:rFonts w:ascii="Arial" w:hAnsi="Arial"/>
          <w:sz w:val="20"/>
        </w:rPr>
      </w:pPr>
      <w:r>
        <w:rPr>
          <w:rFonts w:ascii="Arial" w:hAnsi="Arial"/>
          <w:sz w:val="20"/>
          <w:color w:val="333333"/>
        </w:rPr>
        <w:t>Indonesia — Telkomsel: Signed an AI and cloud cooperation MoU at MWC Barcelona in March 2025, covering three areas — B2B Palm Verification eKYC, AIGC and AI translation capabilities, and public/hybrid cloud cost optimization. A B2C pilot of Palm Verification at Telkomsel GraPARI stores was completed in 2024.</w:t>
      </w:r>
    </w:p>
    <w:p>
      <w:pPr>
        <w:rPr>
          <w:rFonts w:ascii="Arial" w:hAnsi="Arial"/>
          <w:sz w:val="20"/>
        </w:rPr>
      </w:pPr>
      <w:r>
        <w:rPr>
          <w:rFonts w:ascii="Arial" w:hAnsi="Arial"/>
          <w:sz w:val="20"/>
          <w:color w:val="333333"/>
        </w:rPr>
        <w:t>Indonesia — Indosat Ooredoo Hutchison (IOH): Signed a cooperation agreement at the International Going-Global Summit in September 2025.</w:t>
      </w:r>
    </w:p>
    <w:p>
      <w:pPr>
        <w:rPr>
          <w:rFonts w:ascii="Arial" w:hAnsi="Arial"/>
          <w:sz w:val="20"/>
        </w:rPr>
      </w:pPr>
      <w:r>
        <w:rPr>
          <w:rFonts w:ascii="Arial" w:hAnsi="Arial"/>
          <w:sz w:val="20"/>
          <w:color w:val="333333"/>
        </w:rPr>
        <w:t>Philippines — Converge ICT: Attended the International Going-Global Summit as a Tencent Cloud international partner in September 2025.</w:t>
      </w:r>
    </w:p>
    <w:p>
      <w:pPr>
        <w:rPr>
          <w:rFonts w:ascii="Arial" w:hAnsi="Arial"/>
          <w:sz w:val="20"/>
        </w:rPr>
      </w:pPr>
      <w:r>
        <w:rPr>
          <w:rFonts w:ascii="Arial" w:hAnsi="Arial"/>
          <w:sz w:val="20"/>
          <w:color w:val="333333"/>
        </w:rPr>
        <w:t>Cross-market Southeast Asia — Acclivis Technologies and Solutions (a wholly owned subsidiary of CITIC Telecom International): Leveraging connectivity and ICT service capabilities across Singapore, Malaysia, Indonesia, Thailand, the Philippines, and Hong Kong, Acclivis has partnered with Tencent Cloud to build a joint cloud platform serving Southeast Asian customers.</w:t>
      </w:r>
    </w:p>
    <w:p>
      <w:pPr>
        <w:rPr>
          <w:rFonts w:ascii="Arial" w:hAnsi="Arial"/>
          <w:sz w:val="20"/>
        </w:rPr>
      </w:pPr>
      <w:r>
        <w:rPr>
          <w:rFonts w:ascii="Arial" w:hAnsi="Arial"/>
          <w:sz w:val="20"/>
          <w:color w:val="333333"/>
        </w:rPr>
        <w:t>Indonesia data center — True IDC: Attended the International Going-Global Summit as a partner in September 2025.</w:t>
      </w:r>
    </w:p>
    <w:p>
      <w:pPr>
        <w:rPr>
          <w:rFonts w:ascii="Arial" w:hAnsi="Arial"/>
          <w:sz w:val="20"/>
        </w:rPr>
      </w:pPr>
      <w:r>
        <w:rPr>
          <w:rFonts w:ascii="Arial" w:hAnsi="Arial"/>
          <w:sz w:val="20"/>
          <w:color w:val="333333"/>
        </w:rPr>
        <w:t>Europe &amp; Americas and Latin America: Tencent Cloud is currently engaged in deep collaborations with operators in Europe and Latin America, though details are not yet publicly disclosed.</w:t>
      </w:r>
    </w:p>
    <w:p w14:paraId="344A6585" w14:textId="77777777" w:rsidR="00EF11D8" w:rsidRPr="00EF11D8" w:rsidRDefault="00EF11D8" w:rsidP="00EF11D8">
      <w:pPr>
        <w:numPr>
          <w:ilvl w:val="0"/>
          <w:numId w:val="12"/>
        </w:numPr>
        <w:shd w:val="clear" w:color="auto" w:fill="FFF2CC"/>
      </w:pPr>
      <w:r w:rsidRPr="00EF11D8">
        <w:t>Coverage Depth:</w:t>
        <w:br/>
        <w:t>How do you achieve "deep localization" in target markets? (Specify concrete measures)</w:t>
        <w:br/>
        <w:t>[✓] Localized deployment options [✓] Edge computing nodes [✓] Localized teams [✓] Other: (see details below)</w:t>
      </w:r>
      <w:r w:rsidRPr="00EF11D8"/>
      <w:r w:rsidRPr="00EF11D8"/>
      <w:proofErr w:type="gramStart"/>
      <w:r w:rsidRPr="00EF11D8"/>
      <w:proofErr w:type="gramEnd"/>
      <w:r w:rsidRPr="00EF11D8"/>
      <w:proofErr w:type="gramStart"/>
      <w:r w:rsidRPr="00EF11D8"/>
      <w:proofErr w:type="gramEnd"/>
      <w:r w:rsidRPr="00EF11D8"/>
      <w:proofErr w:type="gramStart"/>
      <w:r w:rsidRPr="00EF11D8"/>
      <w:proofErr w:type="gramEnd"/>
      <w:r w:rsidRPr="00EF11D8"/>
      <w:proofErr w:type="gramStart"/>
      <w:r w:rsidRPr="00EF11D8"/>
      <w:proofErr w:type="gramEnd"/>
      <w:r w:rsidRPr="00EF11D8"/>
    </w:p>
    <w:p w14:paraId="26642AB6" w14:textId="7FBB6890" w:rsidR="00EF11D8" w:rsidRPr="00EF11D8" w:rsidRDefault="00EF11D8" w:rsidP="00EF11D8">
      <w:pPr>
        <w:numPr>
          <w:ilvl w:val="0"/>
          <w:numId w:val="12"/>
        </w:numPr>
        <w:shd w:val="clear" w:color="auto" w:fill="FFF2CC"/>
      </w:pPr>
      <w:r w:rsidRPr="00EF11D8">
        <w:t>Key Challenges:</w:t>
      </w:r>
      <w:r w:rsidRPr="00EF11D8">
        <w:br/>
        <w:t>What is the biggest challenge in expanding overseas infrastructure? How was it resolved?</w:t>
      </w:r>
    </w:p>
    <w:p>
      <w:pPr>
        <w:rPr>
          <w:rFonts w:ascii="Arial" w:hAnsi="Arial"/>
          <w:sz w:val="20"/>
        </w:rPr>
      </w:pPr>
      <w:r>
        <w:rPr>
          <w:rFonts w:ascii="Arial" w:hAnsi="Arial"/>
          <w:sz w:val="20"/>
          <w:color w:val="333333"/>
        </w:rPr>
        <w:t>The most representative challenge in Tencent Cloud's overseas infrastructure expansion has been completing large-scale, cross-border, multi-cloud live migrations with local landing under host-country data residency constraints.</w:t>
      </w:r>
    </w:p>
    <w:p>
      <w:pPr>
        <w:rPr>
          <w:rFonts w:ascii="Arial" w:hAnsi="Arial"/>
          <w:sz w:val="20"/>
        </w:rPr>
      </w:pPr>
      <w:r>
        <w:rPr>
          <w:rFonts w:ascii="Arial" w:hAnsi="Arial"/>
          <w:sz w:val="20"/>
          <w:color w:val="333333"/>
        </w:rPr>
        <w:t>The most representative case is Indonesia's largest digital ecosystem, GoTo Group: its on-demand services system spans over 1,000 microservices that required migration under cross-border, multi-cloud conditions, with all data residing in local data centers per Indonesian data sovereignty requirements. In Europe, the Middle East, and Latin America, the challenges take somewhat different forms — Europe involves scaling compliance architecture and local service capabilities, while the Middle East and Latin America more closely resemble building first proprietary availability zones from scratch, compounded by long regulatory implementation cycles.</w:t>
      </w:r>
    </w:p>
    <w:p>
      <w:pPr>
        <w:rPr>
          <w:rFonts w:ascii="Arial" w:hAnsi="Arial"/>
          <w:sz w:val="20"/>
        </w:rPr>
      </w:pPr>
      <w:r>
        <w:rPr>
          <w:rFonts w:ascii="Arial" w:hAnsi="Arial"/>
          <w:sz w:val="20"/>
          <w:color w:val="333333"/>
        </w:rPr>
        <w:t>For the GoTo case, Tencent Cloud's resolution approach comprised four layers: First, local infrastructure pre-expansion — the Jakarta region was expanded from 2 to 3 availability zones, with the third data center operationalized prior to migration, ensuring 100% data residency within Indonesia. Second, an 8-month joint preparation phase with the GoTo engineering team encompassing research, stress testing, and rehearsals. Third, deployment of 50+ Tencent Cloud products covering CVM, CBS, WAF, TKE, Elasticsearch Service, and the full compute, storage, security, container, and search stack — all of which had undergone systematic localization for overseas markets, including regional compliance adaptation, multilingual console and documentation, and localized operations and customer support, ensuring overseas customers receive products at the same maturity level as domestic offerings. Fourth, a live migration toolchain supporting efficient replication, disaster recovery, and rollback across 10+ database types, safeguarding business continuity during cutover.</w:t>
      </w:r>
    </w:p>
    <w:p>
      <w:pPr>
        <w:rPr>
          <w:rFonts w:ascii="Arial" w:hAnsi="Arial"/>
          <w:sz w:val="20"/>
        </w:rPr>
      </w:pPr>
      <w:r>
        <w:rPr>
          <w:rFonts w:ascii="Arial" w:hAnsi="Arial"/>
          <w:sz w:val="20"/>
          <w:color w:val="333333"/>
        </w:rPr>
        <w:t>This capability combination — centered on "multi-AZ architecture + 50+ localized products + live migration toolchain" — has been systematically replicated from Asia Pacific to Europe and is being further extended to the Middle East and Latin America, driving Tencent Cloud's proprietary AZ footprint beyond Asia Pacific. In Europe: At MWC in March 2026, it was announced that the Frankfurt region would expand from 2 to 3 AZs, with the new AZ going live in Q2; in July 2025, Midea Group migrated approximately 50 independent European business systems to Tencent Cloud's Frankfurt data center, consolidating them into a cloud-native architecture with containerization. In the Middle East, Tencent Cloud adopted a phased approach: first landing regulated capabilities through telecom operator partnerships — in March 2024, jointly launching an enterprise-grade private cloud solution with Saudi Arabia's Mobily to meet data residency and regulatory requirements; then in September 2025, formally announcing a USD 150 million investment to build Tencent Cloud's first Middle East data center in Saudi Arabia, aiming to replicate the mature multi-AZ architecture and full-stack localized product portfolio from Asia Pacific. In Latin America, Tencent Cloud is using the São Paulo node as a springboard to advance AZ and localized product portfolio development, extending the migration toolchain and full-stack product capabilities validated in Asia Pacific to Brazil and surrounding markets, serving both Chinese enterprises going global and local digitalization demand.</w:t>
      </w:r>
    </w:p>
    <w:p w14:paraId="5614FE94" w14:textId="0A6A9C26" w:rsidR="00EF11D8" w:rsidRPr="00EF11D8" w:rsidRDefault="00EF11D8" w:rsidP="00EF11D8">
      <w:pPr>
        <w:rPr>
          <w:b/>
          <w:bCs/>
        </w:rPr>
        <w:shd w:val="clear" w:color="auto" w:fill="FFF2CC"/>
      </w:pPr>
      <w:r w:rsidRPr="00EF11D8">
        <w:rPr>
          <w:b/>
          <w:bCs/>
        </w:rPr>
        <w:t>II. Global Full-stack AI Capabilities</w:t>
      </w:r>
    </w:p>
    <w:p w14:paraId="7E77577E" w14:textId="77777777" w:rsidR="00EF11D8" w:rsidRPr="00EF11D8" w:rsidRDefault="00EF11D8" w:rsidP="00EF11D8">
      <w:pPr>
        <w:numPr>
          <w:ilvl w:val="0"/>
          <w:numId w:val="13"/>
        </w:numPr>
        <w:shd w:val="clear" w:color="auto" w:fill="FFF2CC"/>
      </w:pPr>
      <w:r w:rsidRPr="00EF11D8">
        <w:t>Capability Spectrum:</w:t>
      </w:r>
      <w:r w:rsidRPr="00EF11D8">
        <w:br/>
        <w:t>Describe your generative AI stack globally (from underlying compute → large model hosting → upper-layer applications):</w:t>
      </w:r>
    </w:p>
    <w:p w14:paraId="436473E9" w14:textId="77777777" w:rsidR="00EF11D8" w:rsidRPr="00EF11D8" w:rsidRDefault="00EF11D8" w:rsidP="00EF11D8">
      <w:pPr>
        <w:numPr>
          <w:ilvl w:val="1"/>
          <w:numId w:val="13"/>
        </w:numPr>
        <w:shd w:val="clear" w:color="auto" w:fill="FFF2CC"/>
      </w:pPr>
      <w:r w:rsidRPr="00EF11D8">
        <w:t>Supported large model frameworks?</w:t>
      </w:r>
    </w:p>
    <w:p>
      <w:pPr>
        <w:rPr>
          <w:rFonts w:ascii="Arial" w:hAnsi="Arial"/>
          <w:sz w:val="20"/>
        </w:rPr>
      </w:pPr>
      <w:r>
        <w:rPr>
          <w:rFonts w:ascii="Arial" w:hAnsi="Arial"/>
          <w:sz w:val="20"/>
          <w:color w:val="333333"/>
        </w:rPr>
        <w:t>Tencent Cloud's generative AI capabilities are organized across three layers.</w:t>
      </w:r>
    </w:p>
    <w:p>
      <w:pPr>
        <w:rPr>
          <w:rFonts w:ascii="Arial" w:hAnsi="Arial"/>
          <w:sz w:val="20"/>
        </w:rPr>
      </w:pPr>
      <w:r>
        <w:rPr>
          <w:rFonts w:ascii="Arial" w:hAnsi="Arial"/>
          <w:sz w:val="20"/>
          <w:color w:val="333333"/>
        </w:rPr>
        <w:t>The first layer comprises training and inference frameworks. Tencent Cloud TI Platform is a one-stop machine learning platform with built-in support for PySpark, Spark, PyTorch, TensorFlow, and other frameworks, complemented by AutoML and TI-SDK, compatible with Python and R, supporting Git-based code management, with elastic pay-per-use billing for GPU and CPU resources. On the inference side, Tencent Hunyuan and NVIDIA jointly developed AngelHCF, a high-performance inference engine based on TensorRT-LLM, publicly disclosed at NVIDIA GTC 2025; Tencent's proprietary token-saving inference optimization technology has been adopted as an official solution by mainstream global inference frameworks.</w:t>
      </w:r>
    </w:p>
    <w:p>
      <w:pPr>
        <w:rPr>
          <w:rFonts w:ascii="Arial" w:hAnsi="Arial"/>
          <w:sz w:val="20"/>
        </w:rPr>
      </w:pPr>
      <w:r>
        <w:rPr>
          <w:rFonts w:ascii="Arial" w:hAnsi="Arial"/>
          <w:sz w:val="20"/>
          <w:color w:val="333333"/>
        </w:rPr>
        <w:t>The second layer consists of proprietary large models (the Hunyuan series). Over the past 12 months, Hunyuan has released 30+ new models and gone fully open-source, including the hybrid reasoning model Hunyuan-A13B and a translation model supporting 30+ languages. The Hunyuan 3D series is the standout overseas highlight: it has accumulated over 2.6 million downloads on Hugging Face, making it the most-downloaded open-source 3D model family globally. Since its overseas release in November 2025, it has been integrated by German software company Maxon into the modeling workflow of its Cinema 4D (C4D) desktop application. In April 2026, Tencent further open-sourced the Hunyuan 3D World Model 2.0 (HY-World 2.0), enabling text-to-3D scene asset generation importable into Unity and Unreal Engine from a single text prompt. HunyuanVideo supports content production for 80% of China's top AI comic-drama studios, with distribution across North America, Southeast Asia, and Japan/Korea. The next-generation Hunyuan Hy3 preview model is now available on Tencent Cloud's TokenHub platform at an input price of RMB 1.2 per million tokens. The Hunyuan core model primarily serves the Chinese market; overseas customers consume AI capabilities through the upper-layer products described below.</w:t>
      </w:r>
    </w:p>
    <w:p>
      <w:pPr>
        <w:rPr>
          <w:rFonts w:ascii="Arial" w:hAnsi="Arial"/>
          <w:sz w:val="20"/>
        </w:rPr>
      </w:pPr>
      <w:r>
        <w:rPr>
          <w:rFonts w:ascii="Arial" w:hAnsi="Arial"/>
          <w:sz w:val="20"/>
          <w:color w:val="333333"/>
        </w:rPr>
        <w:t>The third layer encompasses upper-layer applications and Agent capabilities. Tencent Cloud Agent Development Platform (ADP) released version 3.0 in September 2025 with global availability (international version branded TCADP), supporting LLM+RAG, Workflow, and Multi-Agent development frameworks with an AI Infra Agent Runtime; nearly 600 feature requirements were iterated within 3 months. The "Tencent Cloud Agent Product Panorama" released in March 2026 covers the infrastructure layer, model service layer (TokenHub MaaS with proprietary Hunyuan plus third-party model supply), skills ecosystem layer (open-source SkillsHub), and AI application layer. The April 2026 upgrade added ADP Smart Workbench, ADP Agent Portal, ClawPro private cloud edition, Agent Memory, and Agent Storage. QClaw's international edition entered beta testing in the US, Canada, Singapore, and South Korea in April 2026, with built-in access to multiple leading international large models and support for custom model integration. The SaaS+AI suite includes Tencent Meeting AI Notes (150% year-on-year growth), Tencent LearnShare (covering 300,000 enterprises with 92% answer accuracy), and CodeBuddy AI coding assistant (international edition live, reducing coding time by 40% and improving R&amp;D efficiency by 16%).</w:t>
      </w:r>
    </w:p>
    <w:p w14:paraId="7FBF8449" w14:textId="77777777" w:rsidR="00EF11D8" w:rsidRPr="00EF11D8" w:rsidRDefault="00EF11D8" w:rsidP="00EF11D8">
      <w:pPr>
        <w:numPr>
          <w:ilvl w:val="1"/>
          <w:numId w:val="13"/>
        </w:numPr>
        <w:shd w:val="clear" w:color="auto" w:fill="FFF2CC"/>
      </w:pPr>
      <w:r w:rsidRPr="00EF11D8">
        <w:t>How is localized AI inference/training ensured?</w:t>
      </w:r>
    </w:p>
    <w:p>
      <w:pPr>
        <w:rPr>
          <w:rFonts w:ascii="Arial" w:hAnsi="Arial"/>
          <w:sz w:val="20"/>
        </w:rPr>
      </w:pPr>
      <w:r>
        <w:rPr>
          <w:rFonts w:ascii="Arial" w:hAnsi="Arial"/>
          <w:sz w:val="20"/>
          <w:color w:val="333333"/>
        </w:rPr>
        <w:t>Publicly disclosable localized AI capability signals (ranked by confidence level from high to low):</w:t>
      </w:r>
    </w:p>
    <w:p>
      <w:pPr>
        <w:rPr>
          <w:rFonts w:ascii="Arial" w:hAnsi="Arial"/>
          <w:sz w:val="20"/>
        </w:rPr>
      </w:pPr>
      <w:r>
        <w:rPr>
          <w:rFonts w:ascii="Arial" w:hAnsi="Arial"/>
          <w:sz w:val="20"/>
          <w:color w:val="333333"/>
        </w:rPr>
        <w:t>First, the overseas-consumable AI product portfolio is clearly defined. Tencent Cloud Agent Development Platform (TCADP), CodeBuddy, and Cloud Mall have all launched international editions designed to adapt to local requirements and compliance standards. QClaw's international edition has entered beta in the US, Canada, Singapore, and South Korea, defaulting to leading international large models with support for enterprise bring-your-own models, rather than defaulting to the Hunyuan core model. Hunyuan 3D has been available overseas since November 2025, with Maxon Cinema 4D having completed production-grade integration. The Hunyuan core model primarily serves the Chinese market; overseas customers consume AI capabilities through TokenHub MaaS, ADP, CodeBuddy, and the open-source model ecosystem — a positioning consistent with Tencent's overseas legal team's compliance guidance to "adopt compliant and controllable local models to avoid third-party model geographic restrictions."</w:t>
      </w:r>
    </w:p>
    <w:p>
      <w:pPr>
        <w:rPr>
          <w:rFonts w:ascii="Arial" w:hAnsi="Arial"/>
          <w:sz w:val="20"/>
        </w:rPr>
      </w:pPr>
      <w:r>
        <w:rPr>
          <w:rFonts w:ascii="Arial" w:hAnsi="Arial"/>
          <w:sz w:val="20"/>
          <w:color w:val="333333"/>
        </w:rPr>
        <w:t>Second, the overseas compute infrastructure is generally available. Tencent Cloud covers 22 regions globally with 64 availability zones, 3,200+ global acceleration nodes, and 400 Tbps bandwidth reserves; plans include a USD 150 million investment to build the first Middle East data center in Saudi Arabia, concurrent construction of a third Osaka data center, and a third Frankfurt AZ going live in Q2 2026. Cloud GPU Service training instance families include GN10Xp, GN10X, GT4, GN8, and GN6/GN6S; inference instance families include GN7, GN10Xp, PNV4, GI3X, and GN6/GN6S. The upper-layer StarPulse high-performance computing network and HCC (High-Performance Computing Cluster) provide distributed training compute.</w:t>
      </w:r>
    </w:p>
    <w:p>
      <w:pPr>
        <w:rPr>
          <w:rFonts w:ascii="Arial" w:hAnsi="Arial"/>
          <w:sz w:val="20"/>
        </w:rPr>
      </w:pPr>
      <w:r>
        <w:rPr>
          <w:rFonts w:ascii="Arial" w:hAnsi="Arial"/>
          <w:sz w:val="20"/>
          <w:color w:val="333333"/>
        </w:rPr>
        <w:t>Third, customer-validated localized AI inference performance exists. The PPIO MaaS platform, leveraging Tencent Cloud's global nodes, GPU compute, and Serverless GPU elastic scheduling, helped a leading AI emotional companion application reduce TOKEN costs by over 60%, maintain peak response times at P99 &lt; 1.5 seconds, achieve data localization without cross-border transfer, and comply with GDPR.</w:t>
      </w:r>
    </w:p>
    <w:p>
      <w:pPr>
        <w:rPr>
          <w:rFonts w:ascii="Arial" w:hAnsi="Arial"/>
          <w:sz w:val="20"/>
        </w:rPr>
      </w:pPr>
      <w:r>
        <w:rPr>
          <w:rFonts w:ascii="Arial" w:hAnsi="Arial"/>
          <w:sz w:val="20"/>
          <w:color w:val="333333"/>
        </w:rPr>
        <w:t>Fourth, sovereign-scenario products are available. ClawPro private cloud edition was released in April 2026, targeting high-security industries such as finance and government, enabling "operations + office" dual-scenario integration with large models and orchestration capabilities deployed on-premises.</w:t>
      </w:r>
    </w:p>
    <w:p>
      <w:pPr>
        <w:rPr>
          <w:rFonts w:ascii="Arial" w:hAnsi="Arial"/>
          <w:sz w:val="20"/>
        </w:rPr>
      </w:pPr>
      <w:r>
        <w:rPr>
          <w:rFonts w:ascii="Arial" w:hAnsi="Arial"/>
          <w:sz w:val="20"/>
          <w:color w:val="333333"/>
        </w:rPr>
        <w:t>Where public materials do not provide coverage, we respond transparently: specific GPU SKU inventory and quota matrices by international region, the GA status and specific hosting facilities of the Hunyuan core model overseas, TI Platform availability in overseas regions, and Hunyuan core model VPC private deployment SKUs for regulated overseas customers have not been publicly released. This field does not speculate on these matters, which will be supplemented by the Tencent team in follow-up inquiries under authorized disclosure parameters.</w:t>
      </w:r>
    </w:p>
    <w:p w14:paraId="7142F222" w14:textId="77777777" w:rsidR="00EF11D8" w:rsidRPr="00EF11D8" w:rsidRDefault="00EF11D8" w:rsidP="00EF11D8">
      <w:pPr>
        <w:numPr>
          <w:ilvl w:val="1"/>
          <w:numId w:val="13"/>
        </w:numPr>
        <w:shd w:val="clear" w:color="auto" w:fill="FFF2CC"/>
      </w:pPr>
      <w:r w:rsidRPr="00EF11D8">
        <w:t>One real-world client case study (industry, challenge, solution, outcome)</w:t>
      </w:r>
    </w:p>
    <w:p>
      <w:pPr>
        <w:rPr>
          <w:rFonts w:ascii="Arial" w:hAnsi="Arial"/>
          <w:sz w:val="20"/>
        </w:rPr>
      </w:pPr>
      <w:r>
        <w:rPr>
          <w:rFonts w:ascii="Arial" w:hAnsi="Arial"/>
          <w:sz w:val="20"/>
          <w:color w:val="333333"/>
        </w:rPr>
        <w:t>Primary case: CNN BRASIL (Media industry, Brazil).</w:t>
      </w:r>
    </w:p>
    <w:p>
      <w:pPr>
        <w:rPr>
          <w:rFonts w:ascii="Arial" w:hAnsi="Arial"/>
          <w:sz w:val="20"/>
        </w:rPr>
      </w:pPr>
      <w:r>
        <w:rPr>
          <w:rFonts w:ascii="Arial" w:hAnsi="Arial"/>
          <w:sz w:val="20"/>
          <w:color w:val="333333"/>
        </w:rPr>
        <w:t>Industry and customer: CNN BRASIL is a Brazilian commercial television channel headquartered in São Paulo, which launched on March 15, 2020 under a brand license from the US CNN network.</w:t>
      </w:r>
    </w:p>
    <w:p>
      <w:pPr>
        <w:rPr>
          <w:rFonts w:ascii="Arial" w:hAnsi="Arial"/>
          <w:sz w:val="20"/>
        </w:rPr>
      </w:pPr>
      <w:r>
        <w:rPr>
          <w:rFonts w:ascii="Arial" w:hAnsi="Arial"/>
          <w:sz w:val="20"/>
          <w:color w:val="333333"/>
        </w:rPr>
        <w:t>Challenge: Legacy system integration, data security under Brazil's LGPD compliance framework, editorial team onboarding for AI toolchains, and multi-platform distribution with mobile experience optimization.</w:t>
      </w:r>
    </w:p>
    <w:p>
      <w:pPr>
        <w:rPr>
          <w:rFonts w:ascii="Arial" w:hAnsi="Arial"/>
          <w:sz w:val="20"/>
        </w:rPr>
      </w:pPr>
      <w:r>
        <w:rPr>
          <w:rFonts w:ascii="Arial" w:hAnsi="Arial"/>
          <w:sz w:val="20"/>
          <w:color w:val="333333"/>
        </w:rPr>
        <w:t>Solution: Multi-platform live and on-demand streaming distribution hosted on Tencent Cloud's global CDN; Tencent Cloud AI solutions deployed for AI-assisted editing and news content production; LGPD compliance requirements met through hybrid environment and enterprise-grade security capabilities.</w:t>
      </w:r>
    </w:p>
    <w:p>
      <w:pPr>
        <w:rPr>
          <w:rFonts w:ascii="Arial" w:hAnsi="Arial"/>
          <w:sz w:val="20"/>
        </w:rPr>
      </w:pPr>
      <w:r>
        <w:rPr>
          <w:rFonts w:ascii="Arial" w:hAnsi="Arial"/>
          <w:sz w:val="20"/>
          <w:color w:val="333333"/>
        </w:rPr>
        <w:t>Results: Nationwide multi-platform HD streaming distribution across Brazil with optimized mobile experience; AI tools significantly improved editorial accuracy and content delivery speed, enabling journalists to produce higher-quality stories more efficiently (qualitative statement from public case page; specific metrics not disclosed).</w:t>
      </w:r>
    </w:p>
    <w:p>
      <w:pPr>
        <w:rPr>
          <w:rFonts w:ascii="Arial" w:hAnsi="Arial"/>
          <w:sz w:val="20"/>
        </w:rPr>
      </w:pPr>
      <w:r>
        <w:rPr>
          <w:rFonts w:ascii="Arial" w:hAnsi="Arial"/>
          <w:sz w:val="20"/>
          <w:color w:val="333333"/>
        </w:rPr>
        <w:t>Alternative backup cases (ranked by positioning):</w:t>
      </w:r>
    </w:p>
    <w:p>
      <w:pPr>
        <w:rPr>
          <w:rFonts w:ascii="Arial" w:hAnsi="Arial"/>
          <w:sz w:val="20"/>
        </w:rPr>
      </w:pPr>
      <w:r>
        <w:rPr>
          <w:rFonts w:ascii="Arial" w:hAnsi="Arial"/>
          <w:sz w:val="20"/>
          <w:color w:val="333333"/>
        </w:rPr>
        <w:t>A. Maxon Cinema 4D — Overseas software vendor integrating Hunyuan 3D. German software company Maxon integrated the Hunyuan 3D API into Cinema 4D's desktop modeling workflow, representing the cleanest public reference of "an overseas vendor embedding Hunyuan family capabilities into its product" (publicly disclosed March 2026). This represents the "overseas audience + Hunyuan 3D" pathway.</w:t>
      </w:r>
    </w:p>
    <w:p>
      <w:pPr>
        <w:rPr>
          <w:rFonts w:ascii="Arial" w:hAnsi="Arial"/>
          <w:sz w:val="20"/>
        </w:rPr>
      </w:pPr>
      <w:r>
        <w:rPr>
          <w:rFonts w:ascii="Arial" w:hAnsi="Arial"/>
          <w:sz w:val="20"/>
          <w:color w:val="333333"/>
        </w:rPr>
        <w:t>B. Giant Network's "Werewolf Among Us" — Chinese studio's overseas game + Hunyuan Turbo S. The game integrates Tencent Hunyuan Turbo S, with 200 million registered players competing alongside 7 million AI characters, accumulating nearly 900,000 AI-driven matches in the first month, complemented by Tencent Cloud TTS; this represents the "Chinese studio AI-native gameplay distributed overseas" pathway.</w:t>
      </w:r>
    </w:p>
    <w:p>
      <w:pPr>
        <w:rPr>
          <w:rFonts w:ascii="Arial" w:hAnsi="Arial"/>
          <w:sz w:val="20"/>
        </w:rPr>
      </w:pPr>
      <w:r>
        <w:rPr>
          <w:rFonts w:ascii="Arial" w:hAnsi="Arial"/>
          <w:sz w:val="20"/>
          <w:color w:val="333333"/>
        </w:rPr>
        <w:t>C. Wenmai AI Browser — Cross-border e-commerce SaaS. Built on Tencent Cloud Hunyuan + ADP Agent Development Platform, it provides cross-border sellers with intelligent product analysis, multimodal content generation, and AI-powered operations agents; per-SKU image and video asset production time was compressed from 3-5 days to tens of minutes, representing over 200x efficiency improvement per workflow step.</w:t>
      </w:r>
    </w:p>
    <w:p>
      <w:pPr>
        <w:rPr>
          <w:rFonts w:ascii="Arial" w:hAnsi="Arial"/>
          <w:sz w:val="20"/>
        </w:rPr>
      </w:pPr>
      <w:r>
        <w:rPr>
          <w:rFonts w:ascii="Arial" w:hAnsi="Arial"/>
          <w:sz w:val="20"/>
          <w:color w:val="333333"/>
        </w:rPr>
        <w:t>D. GoTo Group (Indonesia) — Infrastructure + data sovereignty. 1,000+ microservices migrated in 4 hours 54 minutes, Jakarta region expanded from 2 to 3 AZs, supporting Indonesia's data sovereignty commitment; this is an "infrastructure + AI ecosystem" case rather than a pure AI case.</w:t>
      </w:r>
    </w:p>
    <w:p>
      <w:pPr>
        <w:rPr>
          <w:rFonts w:ascii="Arial" w:hAnsi="Arial"/>
          <w:sz w:val="20"/>
        </w:rPr>
      </w:pPr>
      <w:r>
        <w:rPr>
          <w:rFonts w:ascii="Arial" w:hAnsi="Arial"/>
          <w:sz w:val="20"/>
          <w:color w:val="333333"/>
        </w:rPr>
        <w:t>E. Midea Group — European IT consolidation. 50 independent business systems migrated to Tencent Cloud's Frankfurt data center with cloud-native containerization; infrastructure-focused.</w:t>
      </w:r>
    </w:p>
    <w:p>
      <w:pPr>
        <w:rPr>
          <w:rFonts w:ascii="Arial" w:hAnsi="Arial"/>
          <w:sz w:val="20"/>
        </w:rPr>
      </w:pPr>
      <w:r>
        <w:rPr>
          <w:rFonts w:ascii="Arial" w:hAnsi="Arial"/>
          <w:sz w:val="20"/>
          <w:color w:val="333333"/>
        </w:rPr>
        <w:t>F. iyzico (Türkiye) — Europe's first cloud business platform, stably supporting transaction processing for 185,000+ merchants; financial infrastructure-focused.</w:t>
      </w:r>
    </w:p>
    <w:p w14:paraId="047F8160" w14:textId="49FE7E40" w:rsidR="00EF11D8" w:rsidRPr="00EF11D8" w:rsidRDefault="00EF11D8" w:rsidP="00EF11D8">
      <w:pPr>
        <w:numPr>
          <w:ilvl w:val="0"/>
          <w:numId w:val="13"/>
        </w:numPr>
        <w:shd w:val="clear" w:color="auto" w:fill="FFF2CC"/>
      </w:pPr>
      <w:r w:rsidRPr="00EF11D8">
        <w:t>Cross-Regional Consistency:</w:t>
      </w:r>
      <w:r w:rsidRPr="00EF11D8">
        <w:br/>
        <w:t>How do you ensure consistent AI performance across regions (e.g., latency, throughput, model accuracy)?</w:t>
      </w:r>
    </w:p>
    <w:p>
      <w:pPr>
        <w:rPr>
          <w:rFonts w:ascii="Arial" w:hAnsi="Arial"/>
          <w:sz w:val="20"/>
        </w:rPr>
      </w:pPr>
      <w:r>
        <w:rPr>
          <w:rFonts w:ascii="Arial" w:hAnsi="Arial"/>
          <w:sz w:val="20"/>
          <w:color w:val="333333"/>
        </w:rPr>
        <w:t>Tencent Cloud ensures cross-regional AI performance consistency across three structural layers, while transparently noting which per-region metrics are not yet publicly disclosed.</w:t>
      </w:r>
    </w:p>
    <w:p>
      <w:pPr>
        <w:rPr>
          <w:rFonts w:ascii="Arial" w:hAnsi="Arial"/>
          <w:sz w:val="20"/>
        </w:rPr>
      </w:pPr>
      <w:r>
        <w:rPr>
          <w:rFonts w:ascii="Arial" w:hAnsi="Arial"/>
          <w:sz w:val="20"/>
          <w:color w:val="333333"/>
        </w:rPr>
        <w:t>The first layer is the inference engine. Tencent Hunyuan and NVIDIA jointly built the high-performance inference engine AngelHCF based on NVIDIA TensorRT-LLM, publicly disclosed at NVIDIA GTC 2025. Building on this, Tencent Cloud's TACO team developed FlexKV, a key token-saving technology that has been officially merged into the mainlines of NVIDIA Dynamo, vLLM, and TensorRT-LLM — the three dominant inference frameworks — as their official KV Cache offloading solution. This creates an end-to-end synergistic loop of GPU resource scheduling (Dynamo) + inference execution (vLLM/TRT-LLM) + cache reuse (FlexKV), compressing first-token latency and improving overall throughput from the source. This means any deployment using these mainstream frameworks benefits from the same upstream-accepted optimization pathway. At the upper layer, TI Platform serves as a one-stop machine learning platform providing unified abstraction from data to training, evaluation, and serving, with elastic GPU/CPU pay-per-use billing.</w:t>
      </w:r>
    </w:p>
    <w:p>
      <w:pPr>
        <w:rPr>
          <w:rFonts w:ascii="Arial" w:hAnsi="Arial"/>
          <w:sz w:val="20"/>
        </w:rPr>
      </w:pPr>
      <w:r>
        <w:rPr>
          <w:rFonts w:ascii="Arial" w:hAnsi="Arial"/>
          <w:sz w:val="20"/>
          <w:color w:val="333333"/>
        </w:rPr>
        <w:t>The second layer is the consumption-side API. Tencent Cloud has upgraded its MaaS offering to TokenHub, providing unified access to Hunyuan, DeepSeek, MiniMax, Kimi, GLM, and other models, with Token Plan unified billing enabling enterprises to schedule and switch models flexibly. This serves as the unified entry point for enterprises consuming AI capabilities across regions, with model and billing parameters remaining constant regardless of deployment location. At the API contract level, Tencent Cloud's API framework supports both automatic DNS resolution to the nearest regional server and explicit region pinning for latency-sensitive workloads; the Action, Version, and optional Region parameters maintain identical calling contracts across regions. At the product level, TCADP, CodeBuddy, Cloud Mall, and other products have released international editions that adapt to local needs while preserving unified capabilities.</w:t>
      </w:r>
    </w:p>
    <w:p>
      <w:pPr>
        <w:rPr>
          <w:rFonts w:ascii="Arial" w:hAnsi="Arial"/>
          <w:sz w:val="20"/>
        </w:rPr>
      </w:pPr>
      <w:r>
        <w:rPr>
          <w:rFonts w:ascii="Arial" w:hAnsi="Arial"/>
          <w:sz w:val="20"/>
          <w:color w:val="333333"/>
        </w:rPr>
        <w:t>The third layer is the edge delivery infrastructure. EdgeOne serves as the unified edge layer fronting backend AI services, operating 3,200+ global acceleration nodes, 400+ Tbps total network bandwidth, 25 Tbps global DDoS mitigation bandwidth, 20+ customizable web security features, and intelligent bot management. Edge nodes are deployed across multiple regions outside mainland China to support cross-regional workloads, with unified intelligent acceleration for static and dynamic content to reduce latency. The overall infrastructure footprint covers 22 regions, 64 availability zones, 3,200+ global acceleration nodes, and 400 Tbps bandwidth reserves, with 9 technical support centers and 100+ global technical support touchpoints.</w:t>
      </w:r>
    </w:p>
    <w:p w14:paraId="64ED1A14" w14:textId="468315DD" w:rsidR="00EF11D8" w:rsidRPr="00EF11D8" w:rsidRDefault="00EF11D8" w:rsidP="00EF11D8">
      <w:pPr>
        <w:numPr>
          <w:ilvl w:val="0"/>
          <w:numId w:val="13"/>
        </w:numPr>
        <w:shd w:val="clear" w:color="auto" w:fill="FFF2CC"/>
      </w:pPr>
      <w:r w:rsidRPr="00EF11D8">
        <w:t>Differentiation:</w:t>
      </w:r>
      <w:r w:rsidRPr="00EF11D8">
        <w:br/>
        <w:t>What are your core advantages in full-stack AI capabilities versus competitors? (1-2 sentences)</w:t>
      </w:r>
    </w:p>
    <w:p>
      <w:pPr>
        <w:rPr>
          <w:rFonts w:ascii="Arial" w:hAnsi="Arial"/>
          <w:sz w:val="20"/>
        </w:rPr>
      </w:pPr>
      <w:r>
        <w:rPr>
          <w:rFonts w:ascii="Arial" w:hAnsi="Arial"/>
          <w:sz w:val="20"/>
          <w:color w:val="333333"/>
        </w:rPr>
        <w:t>Tencent Cloud's core differentiation in full-stack AI capabilities lies in the end-to-end closed loop of "global infrastructure — AI-native product portfolio — super applications": the foundation layer leverages global infrastructure spanning 25 geographic regions and 64 availability zones with an IaaS/PaaS full-stack product portfolio supporting diverse AI hardware, with AI-native architecture continuously enhancing internal platform performance; the upper layer uniquely features WeChat and other super applications with billion-scale monthly active users as natural distribution and industrialization channels for AI capabilities. Unlike peers that cover only the "compute + model" two layers, customers' AI models on Tencent Cloud can not only be stably trained and deployed but also directly reach consumer-facing industrialization scenarios — forming a competitive moat that is difficult for peers to replicate.</w:t>
      </w:r>
    </w:p>
    <w:p w14:paraId="0DED5F82" w14:textId="77777777" w:rsidR="00FF4E0F" w:rsidRDefault="00EF11D8" w:rsidP="00EF11D8">
      <w:pPr>
        <w:rPr>
          <w:b/>
          <w:bCs/>
        </w:rPr>
        <w:shd w:val="clear" w:color="auto" w:fill="FFF2CC"/>
      </w:pPr>
      <w:r w:rsidRPr="00EF11D8">
        <w:rPr>
          <w:b/>
          <w:bCs/>
        </w:rPr>
        <w:t xml:space="preserve">III. Global Ecosystem &amp; </w:t>
      </w:r>
    </w:p>
    <w:p w14:paraId="412DB5EF" w14:textId="77777777" w:rsidR="00370BA4" w:rsidRPr="00EF11D8" w:rsidRDefault="00370BA4" w:rsidP="00370BA4">
      <w:pPr>
        <w:numPr>
          <w:ilvl w:val="0"/>
          <w:numId w:val="14"/>
        </w:numPr>
        <w:shd w:val="clear" w:color="auto" w:fill="FFF2CC"/>
      </w:pPr>
      <w:r w:rsidRPr="00EF11D8">
        <w:t>Ecosystem Network:</w:t>
      </w:r>
      <w:r w:rsidRPr="00EF11D8">
        <w:br/>
        <w:t>Describe your third-party service network in target markets:</w:t>
      </w:r>
    </w:p>
    <w:p w14:paraId="11A96778" w14:textId="77777777" w:rsidR="00370BA4" w:rsidRPr="00EF11D8" w:rsidRDefault="00370BA4" w:rsidP="00370BA4">
      <w:pPr>
        <w:numPr>
          <w:ilvl w:val="1"/>
          <w:numId w:val="14"/>
        </w:numPr>
        <w:shd w:val="clear" w:color="auto" w:fill="FFF2CC"/>
      </w:pPr>
      <w:r w:rsidRPr="00EF11D8">
        <w:t>Partner count (consulting/ISVs/SaaS)</w:t>
      </w:r>
    </w:p>
    <w:p>
      <w:pPr>
        <w:rPr>
          <w:rFonts w:ascii="Arial" w:hAnsi="Arial"/>
          <w:sz w:val="20"/>
        </w:rPr>
      </w:pPr>
      <w:r>
        <w:rPr>
          <w:rFonts w:ascii="Arial" w:hAnsi="Arial"/>
          <w:sz w:val="20"/>
          <w:color w:val="333333"/>
        </w:rPr>
        <w:t>Tencent Cloud's global partner ecosystem exceeds 11,000 partners. This figure was first disclosed by Tencent Group Senior Executive Vice President and CEO of Cloud and Smart Industries Group, Dowson Tong, at Saudi Arabia's LEAP conference in 2024 ("Tencent Cloud's Global Partner Ecosystem is 11,000 partners strong"), and reconfirmed at the Indonesia partnership launch event in March 2025 as "over 11,000 partners." As of the GDES International Going-Global Summit in Shenzhen in September 2025, newly signed Tencent Cloud International partners span four regions: Asia Pacific (Datacom, IOH, Gardi Management, GoTo Group, MahakaX, MUFG Bank China, RYDE Technologies, StoneLink, True IDC, 99 Group), Middle East (Coop Bank Oromia, Nativex), Europe (eMAG), and North America (InCloud).</w:t>
      </w:r>
    </w:p>
    <w:p>
      <w:pPr>
        <w:rPr>
          <w:rFonts w:ascii="Arial" w:hAnsi="Arial"/>
          <w:sz w:val="20"/>
        </w:rPr>
        <w:shd w:val="clear" w:color="auto" w:fill="FFF2CC"/>
      </w:pPr>
      <w:r>
        <w:rPr>
          <w:rFonts w:ascii="Arial" w:hAnsi="Arial"/>
          <w:sz w:val="20"/>
          <w:color w:val="333333"/>
        </w:rPr>
        <w:t>In April 2026, Tencent Cloud officially launched the "Going-Global Ecosystem Launchpad Program," extending the partner ecosystem specifically toward Chinese enterprise going-global scenarios through three pillars: going-global benefits, partner directory, and knowledge services.</w:t>
      </w:r>
    </w:p>
    <w:p w14:paraId="2AF331AC" w14:textId="77777777" w:rsidR="00370BA4" w:rsidRPr="00EF11D8" w:rsidRDefault="00370BA4" w:rsidP="00370BA4">
      <w:pPr>
        <w:numPr>
          <w:ilvl w:val="1"/>
          <w:numId w:val="14"/>
        </w:numPr>
        <w:shd w:val="clear" w:color="auto" w:fill="FFF2CC"/>
      </w:pPr>
      <w:r w:rsidRPr="00EF11D8">
        <w:t>Localized operations team size</w:t>
      </w:r>
    </w:p>
    <w:p>
      <w:pPr>
        <w:rPr>
          <w:rFonts w:ascii="Arial" w:hAnsi="Arial"/>
          <w:sz w:val="20"/>
        </w:rPr>
      </w:pPr>
      <w:r>
        <w:rPr>
          <w:rFonts w:ascii="Arial" w:hAnsi="Arial"/>
          <w:sz w:val="20"/>
          <w:color w:val="333333"/>
        </w:rPr>
        <w:t>Publicly verifiable localized operational footprint (as of December 2025 + March 2026 latest updates):</w:t>
      </w:r>
    </w:p>
    <w:p>
      <w:pPr>
        <w:rPr>
          <w:rFonts w:ascii="Arial" w:hAnsi="Arial"/>
          <w:sz w:val="20"/>
        </w:rPr>
      </w:pPr>
      <w:r>
        <w:rPr>
          <w:rFonts w:ascii="Arial" w:hAnsi="Arial"/>
          <w:sz w:val="20"/>
          <w:color w:val="333333"/>
        </w:rPr>
        <w:t>First, regional offices + technical support centers + touchpoints. Tencent Cloud has established 11 regional offices globally, deployed 9 major technical support centers (located in Jakarta, Manila, Kuala Lumpur, Singapore, Bangkok, Tokyo, Seoul, Palo Alto, and Frankfurt), and formed 100+ global technical support touchpoints, covering 30+ industries and 80+ countries and regions.</w:t>
      </w:r>
    </w:p>
    <w:p>
      <w:pPr>
        <w:rPr>
          <w:rFonts w:ascii="Arial" w:hAnsi="Arial"/>
          <w:sz w:val="20"/>
        </w:rPr>
      </w:pPr>
      <w:r>
        <w:rPr>
          <w:rFonts w:ascii="Arial" w:hAnsi="Arial"/>
          <w:sz w:val="20"/>
          <w:color w:val="333333"/>
        </w:rPr>
        <w:t>Second, infrastructure layer. Tencent Cloud operates 64 availability zones across 22 regions, with 3,200+ global acceleration nodes and 400 Tbps bandwidth reserves. A USD 150 million investment is underway for the first Middle East data center in Saudi Arabia, concurrent with a third Osaka data center and new Osaka office, and a third Frankfurt AZ going live in Q2 2026.</w:t>
      </w:r>
    </w:p>
    <w:p>
      <w:pPr>
        <w:rPr>
          <w:rFonts w:ascii="Arial" w:hAnsi="Arial"/>
          <w:sz w:val="20"/>
        </w:rPr>
        <w:shd w:val="clear" w:color="auto" w:fill="FFF2CC"/>
      </w:pPr>
      <w:r>
        <w:rPr>
          <w:rFonts w:ascii="Arial" w:hAnsi="Arial"/>
          <w:sz w:val="20"/>
          <w:color w:val="333333"/>
        </w:rPr>
        <w:t>Third, regional leadership. Appointed regional and going-global ecosystem leaders include: Yang Baoshu (Senior Vice President, Tencent Cloud International), Kenneth Siow (Regional Director for Southeast Asia and General Manager for Singapore, Malaysia, and Indonesia), Faye Gong (Business Development Director for Southeast Asia and South Asia), and Zhang Lin (General Manager, Tencent Cloud Going-Global Ecosystem).</w:t>
      </w:r>
    </w:p>
    <w:p>
      <w:pPr>
        <w:rPr>
          <w:rFonts w:ascii="Arial" w:hAnsi="Arial"/>
          <w:sz w:val="20"/>
        </w:rPr>
      </w:pPr>
      <w:r>
        <w:rPr>
          <w:rFonts w:ascii="Arial" w:hAnsi="Arial"/>
          <w:sz w:val="20"/>
          <w:color w:val="333333"/>
        </w:rPr>
        <w:t>Specific FTE headcount for localized operations teams, regional personnel distribution, and multilingual service coverage rosters have not been publicly disclosed. This field does not speculate; supplementary information will be provided by the Tencent team under authorized disclosure parameters.</w:t>
      </w:r>
    </w:p>
    <w:p w14:paraId="4EC56D79" w14:textId="77777777" w:rsidR="00370BA4" w:rsidRDefault="00370BA4" w:rsidP="00370BA4">
      <w:pPr>
        <w:numPr>
          <w:ilvl w:val="1"/>
          <w:numId w:val="14"/>
        </w:numPr>
        <w:shd w:val="clear" w:color="auto" w:fill="FFF2CC"/>
      </w:pPr>
      <w:r w:rsidRPr="00EF11D8">
        <w:t>Typical collaboration models (e.g., joint solutions, co-marketing)</w:t>
      </w:r>
    </w:p>
    <w:p>
      <w:pPr>
        <w:rPr>
          <w:rFonts w:ascii="Arial" w:hAnsi="Arial"/>
          <w:sz w:val="20"/>
        </w:rPr>
      </w:pPr>
      <w:r>
        <w:rPr>
          <w:rFonts w:ascii="Arial" w:hAnsi="Arial"/>
          <w:sz w:val="20"/>
          <w:color w:val="333333"/>
        </w:rPr>
        <w:t>The Tencent Cloud Partner Network formalizes partners into three categories and a four-tier program structure.</w:t>
      </w:r>
    </w:p>
    <w:p>
      <w:pPr>
        <w:rPr>
          <w:rFonts w:ascii="Arial" w:hAnsi="Arial"/>
          <w:sz w:val="20"/>
        </w:rPr>
      </w:pPr>
      <w:r>
        <w:rPr>
          <w:rFonts w:ascii="Arial" w:hAnsi="Arial"/>
          <w:sz w:val="20"/>
          <w:color w:val="333333"/>
        </w:rPr>
        <w:t>Three categories:</w:t>
      </w:r>
    </w:p>
    <w:p>
      <w:pPr>
        <w:rPr>
          <w:rFonts w:ascii="Arial" w:hAnsi="Arial"/>
          <w:sz w:val="20"/>
        </w:rPr>
      </w:pPr>
      <w:r>
        <w:rPr>
          <w:rFonts w:ascii="Arial" w:hAnsi="Arial"/>
          <w:sz w:val="20"/>
          <w:color w:val="333333"/>
        </w:rPr>
        <w:t>1. Channel Partners — including resellers, agents, and distributors responsible for selling Tencent Cloud products and services.</w:t>
      </w:r>
    </w:p>
    <w:p>
      <w:pPr>
        <w:rPr>
          <w:rFonts w:ascii="Arial" w:hAnsi="Arial"/>
          <w:sz w:val="20"/>
        </w:rPr>
      </w:pPr>
      <w:r>
        <w:rPr>
          <w:rFonts w:ascii="Arial" w:hAnsi="Arial"/>
          <w:sz w:val="20"/>
          <w:color w:val="333333"/>
        </w:rPr>
        <w:t>2. Service Partners — including Managed Service Providers (MSPs), System Integrators, and consulting partners that enhance delivery and service capabilities.</w:t>
      </w:r>
    </w:p>
    <w:p>
      <w:pPr>
        <w:rPr>
          <w:rFonts w:ascii="Arial" w:hAnsi="Arial"/>
          <w:sz w:val="20"/>
        </w:rPr>
      </w:pPr>
      <w:r>
        <w:rPr>
          <w:rFonts w:ascii="Arial" w:hAnsi="Arial"/>
          <w:sz w:val="20"/>
          <w:color w:val="333333"/>
        </w:rPr>
        <w:t>3. Technology Partners — including Independent Software Vendors (ISVs), PaaS/SaaS marketplace providers, developer tools, and security vendors that enrich the product portfolio.</w:t>
      </w:r>
    </w:p>
    <w:p>
      <w:pPr>
        <w:rPr>
          <w:rFonts w:ascii="Arial" w:hAnsi="Arial"/>
          <w:sz w:val="20"/>
        </w:rPr>
      </w:pPr>
      <w:r>
        <w:rPr>
          <w:rFonts w:ascii="Arial" w:hAnsi="Arial"/>
          <w:sz w:val="20"/>
          <w:color w:val="333333"/>
        </w:rPr>
        <w:t>Four-tier program — Standard / Silver / Gold / Platinum — with quantifiable annual revenue thresholds (Silver: USD 15,000 / Gold: USD 150,000 / Platinum: USD 1,500,000) and certification requirements (Silver: 2 / Gold: 2 / Platinum: 4 Tencent Cloud Practitioners). Tencent Cloud also recognizes existing AWS tiers (Registered/Selected/Advanced/Premium) and corresponding Microsoft Azure tiers, enabling existing multi-cloud partners to directly map to equivalent Tencent Cloud tiers, reducing platform-switching friction.</w:t>
      </w:r>
    </w:p>
    <w:p>
      <w:pPr>
        <w:rPr>
          <w:rFonts w:ascii="Arial" w:hAnsi="Arial"/>
          <w:sz w:val="20"/>
        </w:rPr>
        <w:shd w:val="clear" w:color="auto" w:fill="FFF2CC"/>
      </w:pPr>
      <w:r>
        <w:rPr>
          <w:rFonts w:ascii="Arial" w:hAnsi="Arial"/>
          <w:sz w:val="20"/>
          <w:color w:val="333333"/>
        </w:rPr>
        <w:t>For Chinese enterprise going-global scenarios, Tencent Cloud's going-global ecosystem overlays a directed architecture on top of the Partner Network, formally articulated by Zhang Lin (General Manager, Tencent Cloud Going-Global Ecosystem) in March 2026: a "platform + ISV + channel + local compliance partner" four-role ecosystemic going-global model, supported by six core resources — marketing communications, traffic support, business light consulting, ecosystem events, product co-creation, and Tencent Group synergies. The "Going-Global Ecosystem Launchpad Program" released at the Chongqing Summit on April 28, 2026 serves as the latest implementation vehicle with three pillars: going-global benefits, partner directory, and knowledge services.</w:t>
      </w:r>
    </w:p>
    <w:p>
      <w:pPr>
        <w:rPr>
          <w:rFonts w:ascii="Arial" w:hAnsi="Arial"/>
          <w:sz w:val="20"/>
        </w:rPr>
      </w:pPr>
      <w:r>
        <w:rPr>
          <w:rFonts w:ascii="Arial" w:hAnsi="Arial"/>
          <w:sz w:val="20"/>
          <w:color w:val="333333"/>
        </w:rPr>
        <w:t>Deeper strategic collaboration and JV models are represented by three public cases:</w:t>
      </w:r>
    </w:p>
    <w:p>
      <w:pPr>
        <w:rPr>
          <w:rFonts w:ascii="Arial" w:hAnsi="Arial"/>
          <w:sz w:val="20"/>
        </w:rPr>
      </w:pPr>
      <w:r>
        <w:rPr>
          <w:rFonts w:ascii="Arial" w:hAnsi="Arial"/>
          <w:sz w:val="20"/>
          <w:color w:val="333333"/>
        </w:rPr>
        <w:t>- Mobily (Saudi telecom operator, LEAP 2024) — jointly launched the "Go Saudi" project with Tencent Cloud, co-building an operator-grade enterprise cloud on the Tencent Cloud Enterprise (TCE) private cloud platform.</w:t>
      </w:r>
    </w:p>
    <w:p>
      <w:pPr>
        <w:rPr>
          <w:rFonts w:ascii="Arial" w:hAnsi="Arial"/>
          <w:sz w:val="20"/>
        </w:rPr>
      </w:pPr>
      <w:r>
        <w:rPr>
          <w:rFonts w:ascii="Arial" w:hAnsi="Arial"/>
          <w:sz w:val="20"/>
          <w:color w:val="333333"/>
        </w:rPr>
        <w:t>- Acclivis Technologies and Solutions (wholly owned subsidiary of CITIC Telecom International, Singapore) — signed a strategic collaboration agreement covering private/public/hybrid cloud and ICT solutions across Southeast Asia, mainland China, and Hong Kong.</w:t>
      </w:r>
    </w:p>
    <w:p>
      <w:pPr>
        <w:rPr>
          <w:rFonts w:ascii="Arial" w:hAnsi="Arial"/>
          <w:sz w:val="20"/>
        </w:rPr>
      </w:pPr>
      <w:r>
        <w:rPr>
          <w:rFonts w:ascii="Arial" w:hAnsi="Arial"/>
          <w:sz w:val="20"/>
          <w:color w:val="333333"/>
        </w:rPr>
        <w:t>- Wenmai AI Browser (Wenmai Technology under Samoyed Group, Shenzhen, January 2026) — signed a strategic cooperation agreement integrating Tencent Cloud's cloud computing and AI large model technology foundation with Wenmai AI Browser's cross-border ecosystem capabilities to jointly develop "AI + cross-border" solutions.</w:t>
      </w:r>
    </w:p>
    <w:p>
      <w:pPr>
        <w:rPr>
          <w:rFonts w:ascii="Arial" w:hAnsi="Arial"/>
          <w:sz w:val="20"/>
        </w:rPr>
      </w:pPr>
      <w:r>
        <w:rPr>
          <w:rFonts w:ascii="Arial" w:hAnsi="Arial"/>
          <w:sz w:val="20"/>
          <w:color w:val="333333"/>
        </w:rPr>
        <w:t>Mid-tier MoU collaborations are represented by Mega Berjaya Teknologi (Indonesia, MoU signed March 2025). Tencent Cloud Marketplace and the Marketing Amplifier Program (Marketing Development Fund, MDF) provide partners with go-to-market funding and brand services.</w:t>
      </w:r>
    </w:p>
    <w:p>
      <w:pPr>
        <w:rPr>
          <w:rFonts w:ascii="Arial" w:hAnsi="Arial"/>
          <w:sz w:val="20"/>
        </w:rPr>
      </w:pPr>
      <w:r>
        <w:rPr>
          <w:rFonts w:ascii="Arial" w:hAnsi="Arial"/>
          <w:sz w:val="20"/>
          <w:color w:val="333333"/>
        </w:rPr>
        <w:t>Specific revenue contribution ratios and detailed distribution by tier and category are not publicly disclosed; this field does not speculate, and supplementary information will be provided by the Tencent team under authorized disclosure parameters.</w:t>
      </w:r>
    </w:p>
    <w:p w14:paraId="2A51199E" w14:textId="7543CA28" w:rsidR="00370BA4" w:rsidRPr="00370BA4" w:rsidRDefault="00370BA4" w:rsidP="00370BA4">
      <w:pPr>
        <w:pStyle w:val="qk-md-li"/>
        <w:numPr>
          <w:ilvl w:val="0"/>
          <w:numId w:val="14"/>
        </w:numPr>
        <w:shd w:val="clear" w:color="auto" w:fill="FFF2CC"/>
        <w:spacing w:before="0" w:beforeAutospacing="0" w:after="0" w:afterAutospacing="0"/>
        <w:rPr>
          <w:rStyle w:val="qk-md-text"/>
          <w:rFonts w:ascii="Segoe UI" w:hAnsi="Segoe UI" w:cs="Segoe UI"/>
          <w:color w:val="060A26"/>
          <w:spacing w:val="5"/>
        </w:rPr>
      </w:pPr>
      <w:r>
        <w:rPr>
          <w:rStyle w:val="qk-md-text"/>
          <w:rFonts w:ascii="Segoe UI" w:eastAsiaTheme="majorEastAsia" w:hAnsi="Segoe UI" w:cs="Segoe UI"/>
          <w:color w:val="060A26"/>
          <w:spacing w:val="5"/>
        </w:rPr>
        <w:lastRenderedPageBreak/>
        <w:t>Please describe a complex project delivered jointly by "cloud platform + ecosystem partners" (e.g., multinational manufacturing digital transformation), focusing on partner roles and collaboration mechanisms.</w:t>
      </w:r>
    </w:p>
    <w:p>
      <w:pPr>
        <w:rPr>
          <w:rFonts w:ascii="Arial" w:hAnsi="Arial"/>
          <w:sz w:val="20"/>
        </w:rPr>
      </w:pPr>
      <w:r>
        <w:rPr>
          <w:rFonts w:ascii="Arial" w:hAnsi="Arial"/>
          <w:sz w:val="20"/>
          <w:color w:val="333333"/>
        </w:rPr>
        <w:t>Tencent Cloud's joint delivery capability is best illustrated through two complementary examples. One involves a "bilateral joint delivery" with the customer's engineering team, completing an ultra-large-scale, highly complex cross-border migration; the other involves a "cloud platform + partner" role division with a third-party ISV ecosystem, scaling vertical AI solutions to overseas sellers. Both collaboration mechanisms are externally verifiable with publicly quantified results.</w:t>
      </w:r>
    </w:p>
    <w:p>
      <w:pPr>
        <w:rPr>
          <w:rFonts w:ascii="Arial" w:hAnsi="Arial"/>
          <w:sz w:val="20"/>
        </w:rPr>
      </w:pPr>
      <w:r>
        <w:rPr>
          <w:rFonts w:ascii="Arial" w:hAnsi="Arial"/>
          <w:sz w:val="20"/>
          <w:color w:val="333333"/>
        </w:rPr>
        <w:t>Primary case (complexity ceiling of bilateral delivery) — GoTo Indonesia cross-border migration. GoTo Group's On-Demand Services division (encompassing Gojek ride-hailing, food delivery, and payments) completed its full migration from a cross-border multi-cloud environment to Tencent Cloud's Jakarta local data center in June 2025, targeting both Indonesian data sovereignty compliance and next-phase scale expansion. The project was one of the largest and most complex migrations in Southeast Asia to date. Tencent Cloud was responsible for the underlying cloud platform, migration technology, and concurrent infrastructure expansion: the migration utilized 50+ Tencent Cloud products (including CVM, CBS, WAF, TKE, and Elasticsearch Service), with the Jakarta region specifically expanded to a 3rd availability zone and the third data center fully operationalized. Database tools supported 10+ database types with data replication, disaster recovery, and rollback capabilities. The GoTo engineering team served as the business-side lead, completing an 8-month joint preparation with Tencent Cloud's engineering team covering research, stress testing, and rehearsals, while simultaneously re-architecting the platform foundation. Quantified results: the cross-border multi-cloud cutover window was 4 hours 54 minutes, more than 1 hour ahead of schedule; 1,000+ microservices were migrated in a single pass; Jakarta AZs expanded from 2 to 3. Transparent note: GoTo's public press release credits "GoTo engineering team + Tencent Cloud engineering team" bilaterally, without naming third-party ecosystem partners; this case represents the complexity ceiling of "cloud platform + customer engineering team" bilateral joint delivery.</w:t>
      </w:r>
    </w:p>
    <w:p>
      <w:pPr>
        <w:rPr>
          <w:rFonts w:ascii="Arial" w:hAnsi="Arial"/>
          <w:sz w:val="20"/>
        </w:rPr>
      </w:pPr>
      <w:r>
        <w:rPr>
          <w:rFonts w:ascii="Arial" w:hAnsi="Arial"/>
          <w:sz w:val="20"/>
          <w:color w:val="333333"/>
        </w:rPr>
        <w:t>The role division for the second example is publicly documented: Tencent Cloud provides overseas Lighthouse lightweight servers, EdgeOne global edge acceleration nodes, Serverless container services, cloud-native database TDSQL-C MySQL, the Hunyuan large model, and Agent Development Platform (ADP); Wenmai Technology provides the cross-border e-commerce account isolation operating environment, AI Browser front end, Amazon ASIN data-driven vertical toolchain, and commercialization channel. Quantified results: overseas site homepage load latency compressed from 10 seconds to 3 seconds, overall access latency reduced by 60%; back-end IT costs reduced by over 30% compared to traditional cloud; per-SKU content production compressed from 3 hours to under 5 minutes (35x); per-SKU product research from 8 hours to under 30 minutes (15x); per-SKU image and video assets from 3-5 days to tens of minutes (200x+); AI tool call volume increased 8-12x overall; over 95% of seller operations on the platform can be completed through AI and automated workflows; currently serving hundreds of cross-border e-commerce merchants. This represents a reference case where both the "cloud platform + third-party ecosystem partner" role division and quantified outcomes are publicly verifiable.</w:t>
      </w:r>
    </w:p>
    <w:p>
      <w:pPr>
        <w:rPr>
          <w:rFonts w:ascii="Arial" w:hAnsi="Arial"/>
          <w:sz w:val="20"/>
        </w:rPr>
      </w:pPr>
      <w:r>
        <w:rPr>
          <w:rFonts w:ascii="Arial" w:hAnsi="Arial"/>
          <w:sz w:val="20"/>
          <w:color w:val="333333"/>
        </w:rPr>
        <w:t>Three additional supplementary cases: First, manufacturing European migration: Midea Group migrated its European IT operations to Tencent Cloud's Frankfurt data center in July 2025, consolidating nearly 50 independent business systems into cloud-native architecture with containerization; concurrently, Tencent Cloud announced a third AZ in Germany going live in Q2 2026. Second, AI Agent going-global joint delivery: Overseas multi-agent platform AgnesClaw (Agnes AI) initiated a six-phase cutover from GCP to Tencent Cloud in April 2026, utilizing the full infrastructure stack including EdgeOne, TKE, CLB, TSE, and TDSQL-C; the product exceeded 1,000 deployed instances within two weeks of launch and is scaling toward tens of thousands, covering 180+ countries with 8 million+ users. Third, developer ecosystem joint delivery: At the NUS (National University of Singapore) hackathon, Tencent Cloud served as the sole official cloud platform partner, providing Lighthouse lab environments for 174 developers, incubating award-winning applications built on the Agnes model + OpenClaw open-source framework + Tencent Cloud Lighthouse stack.</w:t>
      </w:r>
    </w:p>
    <w:p>
      <w:pPr>
        <w:rPr>
          <w:rFonts w:ascii="Arial" w:hAnsi="Arial"/>
          <w:sz w:val="20"/>
        </w:rPr>
      </w:pPr>
      <w:r>
        <w:rPr>
          <w:rFonts w:ascii="Arial" w:hAnsi="Arial"/>
          <w:sz w:val="20"/>
          <w:color w:val="333333"/>
        </w:rPr>
        <w:t>Ecosystem network context. In the going-global track, Tencent Cloud is organizing joint delivery through a "platform + ISV + channel + local compliance partner" four-layer structure: cross-border e-commerce (TiDong LinkFox Agent, Wenmai AI Browser, Zixun); chain retail overseas expansion (Wandianzhang); cross-border payments (Wifitone serving 200+ overseas financial institutions with 40 million+ daily transactions); affiliate marketing (PartnerBoost); multilingual document processing (INTSIG Docflow Agent covering 52 languages with 6x efficiency improvement); ad monetization (TopOn); MaaS (PPIO Serverless GPU with 60% TOKEN cost reduction and P99 &lt; 1.5s); and the telecom operator ecosystem (Mobily's "Go Saudi" project with Tencent Cloud providing TCE enterprise cloud platform and TCMPP capabilities, with Mobily as the local entity facing Saudi enterprise customers). Total partner ecosystem exceeds 11,000.</w:t>
      </w:r>
    </w:p>
    <w:p>
      <w:pPr>
        <w:rPr>
          <w:rFonts w:ascii="Arial" w:hAnsi="Arial"/>
          <w:sz w:val="20"/>
        </w:rPr>
      </w:pPr>
      <w:r>
        <w:rPr>
          <w:rFonts w:ascii="Arial" w:hAnsi="Arial"/>
          <w:sz w:val="20"/>
          <w:color w:val="333333"/>
        </w:rPr>
        <w:t>The "cloud platform + ecosystem partner" model in Tencent Cloud's going-global operations is not a single-form answer: complex cross-border migrations are predominantly completed as "cloud platform + customer engineering team" bilateral formats (GoTo, Midea Europe), while "cloud platform + ecosystem partner" role divisions with third-party ISVs/channels/local entities have clear public examples in cross-border e-commerce, AI Agents, and telecom operator scenarios (Wenmai, AgnesClaw, Mobily). Both forms constitute joint delivery; the difference lies in whether third-party partners appear in the project's public attribution.</w:t>
      </w:r>
    </w:p>
    <w:p w14:paraId="7C3E6723" w14:textId="1D1C48D4" w:rsidR="00EF11D8" w:rsidRPr="00EF11D8" w:rsidRDefault="00370BA4" w:rsidP="00EF11D8">
      <w:pPr>
        <w:rPr>
          <w:b/>
          <w:bCs/>
        </w:rPr>
        <w:shd w:val="clear" w:color="auto" w:fill="FFF2CC"/>
      </w:pPr>
      <w:r>
        <w:rPr>
          <w:rFonts w:hint="eastAsia"/>
          <w:b/>
          <w:bCs/>
        </w:rPr>
        <w:t xml:space="preserve">IV Global </w:t>
      </w:r>
      <w:r w:rsidR="00EF11D8" w:rsidRPr="00EF11D8">
        <w:rPr>
          <w:b/>
          <w:bCs/>
        </w:rPr>
        <w:t>Operational Capabilities</w:t>
      </w:r>
    </w:p>
    <w:p w14:paraId="524B8B20" w14:textId="77777777" w:rsidR="00EF11D8" w:rsidRPr="00EF11D8" w:rsidRDefault="00EF11D8" w:rsidP="00EF11D8">
      <w:pPr>
        <w:numPr>
          <w:ilvl w:val="0"/>
          <w:numId w:val="14"/>
        </w:numPr>
        <w:shd w:val="clear" w:color="auto" w:fill="FFF2CC"/>
      </w:pPr>
      <w:r w:rsidRPr="00EF11D8">
        <w:t>Technical Support:</w:t>
      </w:r>
      <w:r w:rsidRPr="00EF11D8">
        <w:br/>
        <w:t>How do you deliver "factory-level, zero-latency" support? Provide:</w:t>
      </w:r>
    </w:p>
    <w:p w14:paraId="3725285C" w14:textId="74DBF701" w:rsidR="00EF11D8" w:rsidRPr="00EF11D8" w:rsidRDefault="00EF11D8" w:rsidP="00EF11D8">
      <w:pPr>
        <w:numPr>
          <w:ilvl w:val="1"/>
          <w:numId w:val="14"/>
        </w:numPr>
        <w:shd w:val="clear" w:color="auto" w:fill="FFF2CC"/>
      </w:pPr>
      <w:proofErr w:type="gramStart"/>
      <w:r w:rsidRPr="00EF11D8">
        <w:t>7×24</w:t>
      </w:r>
      <w:proofErr w:type="gramEnd"/>
      <w:r w:rsidRPr="00EF11D8">
        <w:t xml:space="preserve"> SLA response time</w:t>
      </w:r>
      <w:r w:rsidR="00370BA4">
        <w:rPr>
          <w:rFonts w:hint="eastAsia"/>
        </w:rPr>
        <w:t>？</w:t>
      </w:r>
    </w:p>
    <w:p>
      <w:pPr>
        <w:rPr>
          <w:rFonts w:ascii="Arial" w:hAnsi="Arial"/>
          <w:sz w:val="20"/>
        </w:rPr>
      </w:pPr>
      <w:r>
        <w:rPr>
          <w:rFonts w:ascii="Arial" w:hAnsi="Arial"/>
          <w:sz w:val="20"/>
          <w:color w:val="333333"/>
        </w:rPr>
        <w:t>Tencent Cloud International publishes four support plan tiers, all with 24/7 case acceptance, with committed first-response times by case severity. Basic tier: general inquiries &lt; 16 hours, ticket only. Developer tier: general inquiries &lt; 16 hours, system impaired &lt; 8 hours, ticket plus phone. Business tier: general inquiries &lt; 16 hours, system impaired &lt; 8 hours, production system impacted &lt; 30 minutes, ticket plus phone. Enterprise tier: general inquiries &lt; 8 hours, system impaired &lt; 4 hours, production system impacted &lt; 20 minutes, business critical (P1 equivalent) &lt; 15 minutes, with ticket, phone, and live chat all available 24/7, handled by Cloud Support Experts with a designated TAM assigned. Tencent's native four severity levels map to industry-standard P1-P4 as follows: Business Critical = P1, Production System Impacted = P2, System Impaired = P3, General Inquiry = P4. All values stated above are first-response SLAs, not resolution time commitments.</w:t>
      </w:r>
    </w:p>
    <w:p w14:paraId="278A342E" w14:textId="29106413" w:rsidR="00EF11D8" w:rsidRDefault="00EF11D8" w:rsidP="00EF11D8">
      <w:pPr>
        <w:numPr>
          <w:ilvl w:val="1"/>
          <w:numId w:val="14"/>
        </w:numPr>
        <w:shd w:val="clear" w:color="auto" w:fill="FFF2CC"/>
      </w:pPr>
      <w:r w:rsidRPr="00EF11D8">
        <w:t>Localized technical team configuration</w:t>
      </w:r>
      <w:r w:rsidR="00370BA4">
        <w:rPr>
          <w:rFonts w:hint="eastAsia"/>
        </w:rPr>
        <w:t>？</w:t>
      </w:r>
    </w:p>
    <w:p>
      <w:pPr>
        <w:rPr>
          <w:rFonts w:ascii="Arial" w:hAnsi="Arial"/>
          <w:sz w:val="20"/>
        </w:rPr>
      </w:pPr>
      <w:r>
        <w:rPr>
          <w:rFonts w:ascii="Arial" w:hAnsi="Arial"/>
          <w:sz w:val="20"/>
          <w:color w:val="333333"/>
        </w:rPr>
        <w:t>Tencent Cloud has established a three-tier coverage structure overseas. The first tier consists of 9 overseas technical support centers located in Jakarta, Manila, Kuala Lumpur, Singapore, Bangkok, Tokyo, Seoul, Palo Alto, and Frankfurt.</w:t>
      </w:r>
    </w:p>
    <w:p>
      <w:pPr>
        <w:rPr>
          <w:rFonts w:ascii="Arial" w:hAnsi="Arial"/>
          <w:sz w:val="20"/>
        </w:rPr>
      </w:pPr>
      <w:r>
        <w:rPr>
          <w:rFonts w:ascii="Arial" w:hAnsi="Arial"/>
          <w:sz w:val="20"/>
          <w:color w:val="333333"/>
        </w:rPr>
        <w:t>The second tier comprises 11 regional offices responsible for local sales and customer engagement.</w:t>
      </w:r>
    </w:p>
    <w:p>
      <w:pPr>
        <w:rPr>
          <w:rFonts w:ascii="Arial" w:hAnsi="Arial"/>
          <w:sz w:val="20"/>
        </w:rPr>
      </w:pPr>
      <w:r>
        <w:rPr>
          <w:rFonts w:ascii="Arial" w:hAnsi="Arial"/>
          <w:sz w:val="20"/>
          <w:color w:val="333333"/>
        </w:rPr>
        <w:t>The third tier includes 100+ global technical support touchpoints extending service reach beyond the named centers, with overall coverage spanning 80+ countries and regions. Enterprise-tier customers are served by the Cloud Support Experts team with a designated TAM as a single point of contact, unifying ticket, phone, and live chat across all three 24/7 channels to deliver factory-level expert response.</w:t>
      </w:r>
    </w:p>
    <w:p w14:paraId="220CE718" w14:textId="02FA27DB" w:rsidR="00FF4E0F" w:rsidRPr="00EF11D8" w:rsidRDefault="00370BA4" w:rsidP="00EF11D8">
      <w:pPr>
        <w:numPr>
          <w:ilvl w:val="1"/>
          <w:numId w:val="14"/>
        </w:numPr>
        <w:shd w:val="clear" w:color="auto" w:fill="FFF2CC"/>
      </w:pPr>
      <w:r w:rsidRPr="00370BA4">
        <w:t>multilingual ticketing systems</w:t>
      </w:r>
      <w:r>
        <w:rPr>
          <w:rFonts w:hint="eastAsia"/>
        </w:rPr>
        <w:t>？</w:t>
      </w:r>
    </w:p>
    <w:p>
      <w:pPr>
        <w:rPr>
          <w:rFonts w:ascii="Arial" w:hAnsi="Arial"/>
          <w:sz w:val="20"/>
        </w:rPr>
      </w:pPr>
      <w:r>
        <w:rPr>
          <w:rFonts w:ascii="Arial" w:hAnsi="Arial"/>
          <w:sz w:val="20"/>
          <w:color w:val="333333"/>
        </w:rPr>
        <w:t>The Tencent Cloud International portal and console support 6 interface languages: English, Korean, Japanese, Simplified Chinese, Portuguese, and Indonesian. Support channels are configured by tier: tickets are available 24/7 across all four tiers; phone support is available 24/7 for Developer, Business, and Enterprise tiers; live chat is available 24/7 for Enterprise tier only.</w:t>
      </w:r>
    </w:p>
    <w:p>
      <w:pPr>
        <w:rPr>
          <w:rFonts w:ascii="Arial" w:hAnsi="Arial"/>
          <w:sz w:val="20"/>
        </w:rPr>
      </w:pPr>
      <w:r>
        <w:rPr>
          <w:rFonts w:ascii="Arial" w:hAnsi="Arial"/>
          <w:sz w:val="20"/>
          <w:color w:val="333333"/>
        </w:rPr>
        <w:t>24/7 toll-free hotlines are operational in 5 countries/regions — Hong Kong (+852 800 906 020), United States (+1 844 606 0804), United Kingdom (+44 808 196 4551), Canada (+1 888 605 7930), and Australia (+61 1300 986 386); an additional EdgeOne premium hotline (+852 300 80699) is available, with additional local hotlines being progressively launched.</w:t>
      </w:r>
    </w:p>
    <w:p w14:paraId="7C008B9E" w14:textId="77777777" w:rsidR="00EF11D8" w:rsidRPr="00EF11D8" w:rsidRDefault="00EF11D8" w:rsidP="00EF11D8">
      <w:pPr>
        <w:numPr>
          <w:ilvl w:val="1"/>
          <w:numId w:val="14"/>
        </w:numPr>
        <w:shd w:val="clear" w:color="auto" w:fill="FFF2CC"/>
      </w:pPr>
      <w:r w:rsidRPr="00EF11D8">
        <w:t>Resolution time for critical severity (P1) issues</w:t>
      </w:r>
    </w:p>
    <w:p>
      <w:pPr>
        <w:rPr>
          <w:rFonts w:ascii="Arial" w:hAnsi="Arial"/>
          <w:sz w:val="20"/>
        </w:rPr>
      </w:pPr>
      <w:r>
        <w:rPr>
          <w:rFonts w:ascii="Arial" w:hAnsi="Arial"/>
          <w:sz w:val="20"/>
          <w:color w:val="333333"/>
        </w:rPr>
        <w:t>The P1 (Business Critical) first-response commitment is &lt; 15 minutes, available exclusively under the Enterprise tier. The Business tier does not have a dedicated P1 tier, with the highest severity being Production System Impacted at &lt; 30 minutes first response; the Developer tier's highest is System Impaired at &lt; 8 hours; and the Basic tier's highest is General Inquiry at &lt; 16 hours. It should be noted that Tencent Cloud's publicly documented commitments are first-response time SLAs, not resolution time SLAs; the company has not publicly disclosed MTTR commitments. Under the Enterprise tier, the designated TAM and Cloud Support Experts team provide end-to-end tracking of P1 tickets through to closure, but end-to-end resolution time is not included in the externally committed SLA.</w:t>
      </w:r>
    </w:p>
    <w:p w14:paraId="5A49F6EF" w14:textId="61296130" w:rsidR="00FF4E0F" w:rsidRDefault="00FF4E0F" w:rsidP="00FF4E0F">
      <w:pPr>
        <w:pStyle w:val="ListParagraph"/>
        <w:numPr>
          <w:ilvl w:val="0"/>
          <w:numId w:val="14"/>
        </w:numPr>
        <w:shd w:val="clear" w:color="auto" w:fill="FFF2CC"/>
      </w:pPr>
      <w:r w:rsidRPr="00FF4E0F">
        <w:t>For cultural differences causing communication barriers (e.g., Western clients emphasizing process compliance, Middle Eastern clients valuing relationship trust), what standardized service processes and localization adaptation strategies does your company employ?</w:t>
      </w:r>
    </w:p>
    <w:p>
      <w:pPr>
        <w:rPr>
          <w:rFonts w:ascii="Arial" w:hAnsi="Arial"/>
          <w:sz w:val="20"/>
        </w:rPr>
      </w:pPr>
      <w:r>
        <w:rPr>
          <w:rFonts w:ascii="Arial" w:hAnsi="Arial"/>
          <w:sz w:val="20"/>
          <w:color w:val="333333"/>
        </w:rPr>
        <w:t>Tencent Cloud's approach to standardized service for cross-cultural customers operates on two tiers: the process tier delivers globally uniform standards covering procurement-auditable hard metrics; the adaptation tier relies on local entities to implement market-specific organizational structures responsive to different decision-making cultures. We do not position a "culture-specific customer service training manual" as our differentiator; instead, we deploy a combination of auditable service processes plus local teams, local partners, and local data centers — three verifiable facts — to address cultural variation.</w:t>
      </w:r>
    </w:p>
    <w:p>
      <w:pPr>
        <w:rPr>
          <w:rFonts w:ascii="Arial" w:hAnsi="Arial"/>
          <w:sz w:val="20"/>
        </w:rPr>
      </w:pPr>
      <w:r>
        <w:rPr>
          <w:rFonts w:ascii="Arial" w:hAnsi="Arial"/>
          <w:sz w:val="20"/>
          <w:color w:val="333333"/>
        </w:rPr>
        <w:t>Process tier (globally unified standards, auditable by procurement compliance): Tencent Cloud International publishes a unified Support Plan across four tiers — Basic, Developer, Business, and Enterprise. Enterprise tier response commitments are: general inquiries &lt; 8 hours, system impaired &lt; 4 hours, production system impacted &lt; 20 minutes, business critical &lt; 15 minutes, with a designated Technical Account Manager, architectural consulting services, annual on-site services (up to 3 person-days), and 24/7 phone, ticket, and live chat access. Toll-free 24/7 hotlines are published for Hong Kong, the US, the UK, Canada, and Australia; the International portal and console support English, Japanese, Korean, Simplified Chinese, Portuguese, and Indonesian — 6 languages. This is the "process-traceable, accountability-assigned" format that Western clients demand in procurement evaluation — the four-tier SLA matrix explicitly states severity levels, response times, and responsible parties, precisely aligned with procurement audit requirements.</w:t>
      </w:r>
    </w:p>
    <w:p>
      <w:pPr>
        <w:rPr>
          <w:rFonts w:ascii="Arial" w:hAnsi="Arial"/>
          <w:sz w:val="20"/>
        </w:rPr>
      </w:pPr>
      <w:r>
        <w:rPr>
          <w:rFonts w:ascii="Arial" w:hAnsi="Arial"/>
          <w:sz w:val="20"/>
          <w:color w:val="333333"/>
        </w:rPr>
        <w:t>Adaptation tier (market-specific local structures):</w:t>
      </w:r>
    </w:p>
    <w:p>
      <w:pPr>
        <w:rPr>
          <w:rFonts w:ascii="Arial" w:hAnsi="Arial"/>
          <w:sz w:val="20"/>
        </w:rPr>
      </w:pPr>
      <w:r>
        <w:rPr>
          <w:rFonts w:ascii="Arial" w:hAnsi="Arial"/>
          <w:sz w:val="20"/>
          <w:color w:val="333333"/>
        </w:rPr>
        <w:t>First, three-tier coverage: technical support centers + regional offices + global touchpoints. As of March 2026, Tencent Cloud maintains 9 technical support centers (Jakarta, Manila, Kuala Lumpur, Singapore, Bangkok, Tokyo, Seoul, Palo Alto, Frankfurt), 11 regional offices, and 100+ global technical support touchpoints covering 80+ countries and regions. Frankfurt and Palo Alto serve European and American customers for compliance and timezone-aligned follow-up; Tokyo and Seoul serve the high-context Japanese and Korean markets; five Southeast Asian cities (Jakarta, Manila, Kuala Lumpur, Singapore, Bangkok) cover the region's multilingual, multi-regulatory environment.</w:t>
      </w:r>
    </w:p>
    <w:p>
      <w:pPr>
        <w:rPr>
          <w:rFonts w:ascii="Arial" w:hAnsi="Arial"/>
          <w:sz w:val="20"/>
        </w:rPr>
      </w:pPr>
      <w:r>
        <w:rPr>
          <w:rFonts w:ascii="Arial" w:hAnsi="Arial"/>
          <w:sz w:val="20"/>
          <w:color w:val="333333"/>
        </w:rPr>
        <w:t>Second, local strategic partnerships in the Middle East address the "relationship before contract" decision-making culture. The "Go Saudi" project jointly launched with Saudi telecom operator Etihad Etisalat (Mobily) positions Mobily as the local entity facing Saudi enterprise customers, with Tencent Cloud providing the underlying enterprise private cloud platform (TCE) and TCMPP mini-program capabilities, simultaneously delivering commitments on user privacy, data residency, and local regulatory alignment. The customer relationship and contracting entity resides with the local partner rather than cross-border direct sales — this is a structural trust response, not a rhetorical one. Tencent Cloud has announced a USD 150 million investment to build its first Middle East data center in Saudi Arabia.</w:t>
      </w:r>
    </w:p>
    <w:p>
      <w:pPr>
        <w:rPr>
          <w:rFonts w:ascii="Arial" w:hAnsi="Arial"/>
          <w:sz w:val="20"/>
        </w:rPr>
      </w:pPr>
      <w:r>
        <w:rPr>
          <w:rFonts w:ascii="Arial" w:hAnsi="Arial"/>
          <w:sz w:val="20"/>
          <w:color w:val="333333"/>
        </w:rPr>
        <w:t>Third, in the Southeast Asian market, regional ICT partners package localized delivery. The strategic collaboration with Acclivis (wholly owned subsidiary of CITIC Telecom International) covers Singapore, Malaysia, Indonesia, Thailand, the Philippines, and Hong Kong. Acclivis provides internet connectivity, managed services, and end-user IT support, packaging Tencent Cloud's platform capabilities into localized, multilingual ICT delivery bundles with local teams facing customers. Combined with Tencent Cloud's 11,000-strong global partner ecosystem, different markets within the region can be served through locally familiar partnership formats.</w:t>
      </w:r>
    </w:p>
    <w:p>
      <w:pPr>
        <w:rPr>
          <w:rFonts w:ascii="Arial" w:hAnsi="Arial"/>
          <w:sz w:val="20"/>
        </w:rPr>
      </w:pPr>
      <w:r>
        <w:rPr>
          <w:rFonts w:ascii="Arial" w:hAnsi="Arial"/>
          <w:sz w:val="20"/>
          <w:color w:val="333333"/>
        </w:rPr>
        <w:t>Fourth, continued infrastructure localization. Tencent Cloud currently covers 22 regions with 64 availability zones, complemented by 3,200+ global acceleration nodes and 400 Tbps bandwidth reserves; a third Osaka data center is under construction with a new Osaka office; the first Middle East data center in Saudi Arabia has been committed; over 400 international professional certifications accumulated, covering GDPR, ISO, SOC, and other major compliance standards. The physical presence of local data centers is itself the most direct response to local regulatory and cultural preferences (data residency, compliance audits, local service entities).</w:t>
      </w:r>
    </w:p>
    <w:p w14:paraId="625EB409" w14:textId="45DA144F" w:rsidR="00EF11D8" w:rsidRPr="00EF11D8" w:rsidRDefault="00EF11D8" w:rsidP="00EF11D8">
      <w:pPr>
        <w:numPr>
          <w:ilvl w:val="0"/>
          <w:numId w:val="14"/>
        </w:numPr>
        <w:shd w:val="clear" w:color="auto" w:fill="FFF2CC"/>
      </w:pPr>
      <w:r w:rsidRPr="00EF11D8">
        <w:t>Success Case:</w:t>
      </w:r>
      <w:r w:rsidRPr="00EF11D8">
        <w:br/>
        <w:t>Share one case where ecosystem collaboration successfully served Chinese enterprises going global (industry, challenge, solution, results)</w:t>
      </w:r>
    </w:p>
    <w:p>
      <w:pPr>
        <w:rPr>
          <w:rFonts w:ascii="Arial" w:hAnsi="Arial"/>
          <w:sz w:val="20"/>
        </w:rPr>
      </w:pPr>
      <w:r>
        <w:rPr>
          <w:rFonts w:ascii="Arial" w:hAnsi="Arial"/>
          <w:sz w:val="20"/>
          <w:color w:val="333333"/>
        </w:rPr>
        <w:t>Industry: Cross-border e-commerce going global.</w:t>
      </w:r>
    </w:p>
    <w:p>
      <w:pPr>
        <w:rPr>
          <w:rFonts w:ascii="Arial" w:hAnsi="Arial"/>
          <w:sz w:val="20"/>
        </w:rPr>
      </w:pPr>
      <w:r>
        <w:rPr>
          <w:rFonts w:ascii="Arial" w:hAnsi="Arial"/>
          <w:sz w:val="20"/>
          <w:color w:val="333333"/>
        </w:rPr>
        <w:t>Partner and role division: Tencent Cloud as the cloud platform foundation; Wenmai Technology (Shenzhen, under Samoyed Group) as the cross-border e-commerce vertical ecosystem partner. A strategic cooperation agreement was signed on January 30, 2026, witnessed by Tencent Cloud Senior Vice President Xu Yiming and Wenmai Technology Chairman Lin Jianming, and executed by Tencent Cloud Digital Finance Deputy General Manager Luo Sheng and Wenmai Technology Senior Vice President Luo Zihong.</w:t>
      </w:r>
    </w:p>
    <w:p>
      <w:pPr>
        <w:rPr>
          <w:rFonts w:ascii="Arial" w:hAnsi="Arial"/>
          <w:sz w:val="20"/>
        </w:rPr>
      </w:pPr>
      <w:r>
        <w:rPr>
          <w:rFonts w:ascii="Arial" w:hAnsi="Arial"/>
          <w:sz w:val="20"/>
          <w:color w:val="333333"/>
        </w:rPr>
        <w:t>Challenge: Chinese cross-border sellers have long faced unstable networks, overseas site first-screen load latency of approximately 10 seconds, account association and suspension risks, high operating costs, and heavy reliance on manual effort for content and product selection. Under traditional models, per-SKU title, bullet point, and visual asset production averaged over 3 hours; product research exceeded 8 hours per SKU with conversion rates below 30%; per-SKU image and video asset production required 3-5 days, making it difficult to replicate core operational capabilities at scale.</w:t>
      </w:r>
    </w:p>
    <w:p>
      <w:pPr>
        <w:rPr>
          <w:rFonts w:ascii="Arial" w:hAnsi="Arial"/>
          <w:sz w:val="20"/>
        </w:rPr>
      </w:pPr>
      <w:r>
        <w:rPr>
          <w:rFonts w:ascii="Arial" w:hAnsi="Arial"/>
          <w:sz w:val="20"/>
          <w:color w:val="333333"/>
        </w:rPr>
        <w:t>Solution: Both parties deeply integrated Tencent Cloud's cloud computing and AI large model infrastructure with Wenmai's cross-border business capabilities to jointly launch an "AI + cross-border" intelligent operations solution. Tencent Cloud provides Lighthouse lightweight application servers (secure and compliant store operations environment), EdgeOne global edge acceleration nodes (static-dynamic separation, overseas access acceleration), Serverless container services and TDSQL-C MySQL cloud-native database (elastic scaling and high availability), Hunyuan large model (intelligent product analysis, text-to-image, image-to-image, multimodal video generation), and Agent Development Platform ADP (operations agent runtime). Wenmai Technology is responsible for the cross-border e-commerce account isolation environment, AI Browser front end, Amazon ASIN-based vertical toolchain, and commercialization channels serving hundreds of cross-border sellers.</w:t>
      </w:r>
    </w:p>
    <w:p>
      <w:pPr>
        <w:rPr>
          <w:rFonts w:ascii="Arial" w:hAnsi="Arial"/>
          <w:sz w:val="20"/>
        </w:rPr>
      </w:pPr>
      <w:r>
        <w:rPr>
          <w:rFonts w:ascii="Arial" w:hAnsi="Arial"/>
          <w:sz w:val="20"/>
          <w:color w:val="333333"/>
        </w:rPr>
        <w:t>Results: After launch, overseas site first-screen load latency was compressed from 10 seconds to 3 seconds, with overall access latency reduced by 60%; post-cloud-native transformation reduced overall IT costs by more than 30% compared to traditional cloud solutions; platform AI tool call volume increased 8-12x. For individual Chinese cross-border sellers: per-SKU content production compressed from 3+ hours to under 5 minutes (~35x); per-SKU product research from 8+ hours to under 30 minutes (~15x); per-SKU image and video assets from 3-5 days to tens of minutes (200x+); over 95% of operations from product selection analysis, content generation, and asset production to listing preparation can be completed through AI and automated workflows. The solution currently serves hundreds of Chinese cross-border e-commerce merchants at scale.</w:t>
      </w:r>
    </w:p>
    <w:p>
      <w:pPr>
        <w:rPr>
          <w:rFonts w:ascii="Arial" w:hAnsi="Arial"/>
          <w:sz w:val="20"/>
        </w:rPr>
      </w:pPr>
      <w:r>
        <w:rPr>
          <w:rFonts w:ascii="Arial" w:hAnsi="Arial"/>
          <w:sz w:val="20"/>
          <w:color w:val="333333"/>
        </w:rPr>
        <w:t>Ecosystem breadth extension: In cross-border payments, Tencent Cloud and Wifitone leverage Tencent Cloud elastic compute, databases, and payment capabilities to serve 200+ overseas financial institutions including BOC HK and Tiqmo in the Middle East, processing 40 million+ daily transactions supporting global capital flows for Chinese enterprises going overseas. Geographically, Tencent Cloud jointly launched the "Go Saudi" project with Saudi telecom operator Mobily, with a planned USD 150 million investment in the first Middle East AZ as a localized hosting channel for Chinese enterprises entering Saudi Arabia. This partner network is underpinned by Tencent Cloud's global infrastructure of 22 regions, 64 availability zones, and 3,200 network nodes, with a customer base of 20,000+ overseas enterprises including over 90% of top internet companies and over 95% of top gaming studios choosing Tencent Cloud for going global.</w:t>
      </w:r>
    </w:p>
    <w:p w14:paraId="021E4FE7" w14:textId="24658416" w:rsidR="00EF11D8" w:rsidRPr="00EF11D8" w:rsidRDefault="00EF11D8" w:rsidP="00EF11D8">
      <w:pPr>
        <w:rPr>
          <w:b/>
          <w:bCs/>
        </w:rPr>
        <w:shd w:val="clear" w:color="auto" w:fill="FFF2CC"/>
      </w:pPr>
      <w:r w:rsidRPr="00EF11D8">
        <w:rPr>
          <w:b/>
          <w:bCs/>
        </w:rPr>
        <w:t>V. Global Security &amp; Compliance Assurance</w:t>
      </w:r>
    </w:p>
    <w:p w14:paraId="5FEC042B" w14:textId="77777777" w:rsidR="00EF11D8" w:rsidRPr="00EF11D8" w:rsidRDefault="00EF11D8" w:rsidP="00EF11D8">
      <w:pPr>
        <w:numPr>
          <w:ilvl w:val="0"/>
          <w:numId w:val="15"/>
        </w:numPr>
        <w:shd w:val="clear" w:color="auto" w:fill="FFF2CC"/>
      </w:pPr>
      <w:r w:rsidRPr="00EF11D8">
        <w:t>Compliance Coverage:</w:t>
      </w:r>
      <w:r w:rsidRPr="00EF11D8">
        <w:br/>
        <w:t>List major regional compliance certifications achieved:</w:t>
      </w:r>
    </w:p>
    <w:p w14:paraId="7C68C8C0" w14:textId="77777777" w:rsidR="00EF11D8" w:rsidRPr="00EF11D8" w:rsidRDefault="00EF11D8" w:rsidP="00EF11D8">
      <w:pPr>
        <w:numPr>
          <w:ilvl w:val="1"/>
          <w:numId w:val="15"/>
        </w:numPr>
        <w:shd w:val="clear" w:color="auto" w:fill="FFF2CC"/>
      </w:pPr>
      <w:r w:rsidRPr="00EF11D8">
        <w:t>Southeast Asia: Singapore: MTCS Level 3 (Multi-Tier Cloud Security), OSPAR Audit Report (Outsourced Service Provider Audit Report), Cyber Trust Mark (CSA Singapore cybersecurity certification), DPTM (Data Protection Trustmark Certification).</w:t>
        <w:br/>
        <w:t>Indonesia: SNI 27001 (Indonesian national standard for information security management systems), IT Compliance Audit in the Indonesian Financial Industry.</w:t>
        <w:br/>
        <w:t>Malaysia: IT Compliance Audit in the Malaysian Financial Industry.</w:t>
        <w:br/>
        <w:t>Thailand: IT Compliance Audit in the Thailand Financial Industry.</w:t>
      </w:r>
      <w:proofErr w:type="gramStart"/>
      <w:r w:rsidRPr="00EF11D8"/>
      <w:proofErr w:type="gramEnd"/>
      <w:r w:rsidRPr="00EF11D8"/>
    </w:p>
    <w:p w14:paraId="5AEA6A81" w14:textId="77777777" w:rsidR="00EF11D8" w:rsidRPr="00EF11D8" w:rsidRDefault="00EF11D8" w:rsidP="00EF11D8">
      <w:pPr>
        <w:numPr>
          <w:ilvl w:val="1"/>
          <w:numId w:val="15"/>
        </w:numPr>
        <w:shd w:val="clear" w:color="auto" w:fill="FFF2CC"/>
      </w:pPr>
      <w:r w:rsidRPr="00EF11D8">
        <w:t>Europe/Americas: Europe: C5 (Cloud Computing Compliance Criteria Catalogue, German BSI), TISAX (Trusted Information Security Assessment Exchange, German automotive industry), CISPE (Cloud Infrastructure Services Providers in Europe Code of Conduct), GDPR alignment (Privacy White Paper declares adherence to EU GDPR; GDPR is a regulation, not a third-party certification).</w:t>
        <w:br/>
        <w:t>Americas: SOC 1 / SOC 2 / SOC 3 (System and Organization Controls Reports, AICPA framework), HIPAA (Health Insurance Portability and Accountability Act, US healthcare), NIST CSF (NIST Cybersecurity Framework), SEC Rule 17a-4 (US SEC data retention rule), MPAA Content Security Model (Motion Picture Association of America content security standard), GxP (GxP Compliance Assessment Report, pharmaceutical industry).</w:t>
      </w:r>
      <w:proofErr w:type="gramStart"/>
      <w:r w:rsidRPr="00EF11D8"/>
      <w:proofErr w:type="gramEnd"/>
      <w:r w:rsidRPr="00EF11D8"/>
    </w:p>
    <w:p>
      <w:pPr>
        <w:rPr>
          <w:rFonts w:ascii="Arial" w:hAnsi="Arial"/>
          <w:sz w:val="20"/>
        </w:rPr>
      </w:pPr>
      <w:r>
        <w:rPr>
          <w:rFonts w:ascii="Arial" w:hAnsi="Arial"/>
          <w:sz w:val="20"/>
          <w:color w:val="333333"/>
        </w:rPr>
        <w:t>Europe: C5 (Cloud Computing Compliance Criteria Catalogue, German BSI), TISAX (Trusted Information Security Assessment Exchange, German automotive industry), CISPE (Cloud Infrastructure Services Providers in Europe Code of Conduct), GDPR alignment (Privacy White Paper declares adherence to EU GDPR; GDPR is a regulation, not a third-party certification).</w:t>
      </w:r>
    </w:p>
    <w:p>
      <w:pPr>
        <w:rPr>
          <w:rFonts w:ascii="Arial" w:hAnsi="Arial"/>
          <w:sz w:val="20"/>
        </w:rPr>
      </w:pPr>
      <w:r>
        <w:rPr>
          <w:rFonts w:ascii="Arial" w:hAnsi="Arial"/>
          <w:sz w:val="20"/>
          <w:color w:val="333333"/>
        </w:rPr>
        <w:t>Americas: SOC 1 / SOC 2 / SOC 3 (System and Organization Controls Reports, AICPA framework), HIPAA (Health Insurance Portability and Accountability Act, US healthcare), NIST CSF (NIST Cybersecurity Framework), SEC Rule 17a-4 (US SEC data retention rule), MPAA Content Security Model (Motion Picture Association of America content security standard), GxP (GxP Compliance Assessment Report, pharmaceutical industry).</w:t>
      </w:r>
    </w:p>
    <w:p w14:paraId="6E04C155" w14:textId="77777777" w:rsidR="00EF11D8" w:rsidRPr="00EF11D8" w:rsidRDefault="00EF11D8" w:rsidP="00EF11D8">
      <w:pPr>
        <w:numPr>
          <w:ilvl w:val="1"/>
          <w:numId w:val="15"/>
        </w:numPr>
        <w:shd w:val="clear" w:color="auto" w:fill="FFF2CC"/>
      </w:pPr>
      <w:r w:rsidRPr="00EF11D8">
        <w:t>Middle East: At the infrastructure level, Tencent Cloud opened its Middle East region in Riyadh, Saudi Arabia in February 2025, comprising 2 availability zones. Global compliance certifications (ISO/IEC 27001, ISO/IEC 27017, ISO/IEC 27018, CSA STAR, SOC 2, PCI DSS, etc.) apply to this region per their respective scope of coverage.</w:t>
      </w:r>
    </w:p>
    <w:p>
      <w:pPr>
        <w:rPr>
          <w:rFonts w:ascii="Arial" w:hAnsi="Arial"/>
          <w:sz w:val="20"/>
        </w:rPr>
      </w:pPr>
      <w:r>
        <w:rPr>
          <w:rFonts w:ascii="Arial" w:hAnsi="Arial"/>
          <w:sz w:val="20"/>
          <w:color w:val="333333"/>
        </w:rPr>
        <w:t>At the infrastructure level, Tencent Cloud opened its Middle East region in Riyadh, Saudi Arabia in February 2025, comprising 2 availability zones. Global compliance certifications (ISO/IEC 27001, ISO/IEC 27017, ISO/IEC 27018, CSA STAR, SOC 2, PCI DSS, etc.) apply to this region per their respective scope of coverage.</w:t>
      </w:r>
    </w:p>
    <w:p w14:paraId="4779DE5A" w14:textId="77777777" w:rsidR="00EF11D8" w:rsidRPr="00EF11D8" w:rsidRDefault="00EF11D8" w:rsidP="00EF11D8">
      <w:pPr>
        <w:numPr>
          <w:ilvl w:val="1"/>
          <w:numId w:val="15"/>
        </w:numPr>
        <w:shd w:val="clear" w:color="auto" w:fill="FFF2CC"/>
      </w:pPr>
      <w:r w:rsidRPr="00EF11D8">
        <w:t>Latin America: LGPD is referenced in Tencent Cloud's Privacy White Paper and public content as a regulation that customers must comply with; it is not a third-party certification held by Tencent Cloud. At the infrastructure level, Tencent Cloud operates a South America region in São Paulo, Brazil, comprising 1 availability zone. Global compliance certifications (ISO/IEC 27001, ISO/IEC 27017, ISO/IEC 27018, CSA STAR, SOC 2, PCI DSS, etc.) apply to this region per their respective scope of coverage.</w:t>
      </w:r>
    </w:p>
    <w:p>
      <w:pPr>
        <w:rPr>
          <w:rFonts w:ascii="Arial" w:hAnsi="Arial"/>
          <w:sz w:val="20"/>
        </w:rPr>
      </w:pPr>
      <w:r>
        <w:rPr>
          <w:rFonts w:ascii="Arial" w:hAnsi="Arial"/>
          <w:sz w:val="20"/>
          <w:color w:val="333333"/>
        </w:rPr>
        <w:t>LGPD is referenced in Tencent Cloud's Privacy White Paper and public content as a regulation that customers must comply with; it is not a third-party certification held by Tencent Cloud. At the infrastructure level, Tencent Cloud operates a South America region in São Paulo, Brazil, comprising 1 availability zone. Global compliance certifications (ISO/IEC 27001, ISO/IEC 27017, ISO/IEC 27018, CSA STAR, SOC 2, PCI DSS, etc.) apply to this region per their respective scope of coverage.</w:t>
      </w:r>
    </w:p>
    <w:p w14:paraId="16DADC22" w14:textId="7FB2C7B7" w:rsidR="00EF11D8" w:rsidRPr="00EF11D8" w:rsidRDefault="00EF11D8" w:rsidP="00EF11D8">
      <w:pPr>
        <w:numPr>
          <w:ilvl w:val="0"/>
          <w:numId w:val="15"/>
        </w:numPr>
        <w:shd w:val="clear" w:color="auto" w:fill="FFF2CC"/>
      </w:pPr>
      <w:r w:rsidRPr="00EF11D8">
        <w:t>Regulatory Agility:</w:t>
      </w:r>
      <w:r w:rsidRPr="00EF11D8">
        <w:br/>
        <w:t>What is your process when regulations change (e.g., GDPR updates, China data export rules)?</w:t>
      </w:r>
    </w:p>
    <w:p w14:paraId="407DC0E0" w14:textId="48EC5337" w:rsidR="00EF11D8" w:rsidRPr="00EF11D8" w:rsidRDefault="00EF11D8" w:rsidP="00EF11D8">
      <w:pPr>
        <w:numPr>
          <w:ilvl w:val="0"/>
          <w:numId w:val="15"/>
        </w:numPr>
        <w:shd w:val="clear" w:color="auto" w:fill="FFF2CC"/>
      </w:pPr>
      <w:r w:rsidRPr="00EF11D8">
        <w:t>Client Value:</w:t>
      </w:r>
      <w:r w:rsidRPr="00EF11D8">
        <w:br/>
        <w:t>How do you help clients reduce compliance risks? Specify services (e.g., compliance consulting, data encryption)</w:t>
      </w:r>
    </w:p>
    <w:p>
      <w:pPr>
        <w:rPr>
          <w:rFonts w:ascii="Arial" w:hAnsi="Arial"/>
          <w:sz w:val="20"/>
        </w:rPr>
      </w:pPr>
      <w:r>
        <w:rPr>
          <w:rFonts w:ascii="Arial" w:hAnsi="Arial"/>
          <w:sz w:val="20"/>
          <w:color w:val="333333"/>
        </w:rPr>
        <w:t>Tencent Cloud systematically helps going-global customers reduce compliance risk through the following eight services:</w:t>
      </w:r>
    </w:p>
    <w:p w14:paraId="20753E41" w14:textId="20BF52BF" w:rsidR="00EF11D8" w:rsidRPr="00EF11D8" w:rsidRDefault="00EF11D8" w:rsidP="00EF11D8">
      <w:pPr>
        <w:rPr>
          <w:b/>
          <w:bCs/>
        </w:rPr>
        <w:shd w:val="clear" w:color="auto" w:fill="FFF2CC"/>
      </w:pPr>
      <w:r w:rsidRPr="00EF11D8">
        <w:rPr>
          <w:b/>
          <w:bCs/>
        </w:rPr>
        <w:t>VI. Global Vertical Solution Capabilities</w:t>
      </w:r>
    </w:p>
    <w:p w14:paraId="4CE20CAB" w14:textId="77777777" w:rsidR="00EF11D8" w:rsidRPr="00EF11D8" w:rsidRDefault="00EF11D8" w:rsidP="00EF11D8">
      <w:pPr>
        <w:numPr>
          <w:ilvl w:val="0"/>
          <w:numId w:val="17"/>
        </w:numPr>
        <w:shd w:val="clear" w:color="auto" w:fill="FFF2CC"/>
      </w:pPr>
      <w:r w:rsidRPr="00EF11D8">
        <w:t>Industry Depth:</w:t>
      </w:r>
      <w:r w:rsidRPr="00EF11D8">
        <w:br/>
        <w:t>Which industry-specific solutions do you offer? (Check and specify)</w:t>
      </w:r>
    </w:p>
    <w:p w14:paraId="170CD9C9" w14:textId="77777777" w:rsidR="00EF11D8" w:rsidRPr="00EF11D8" w:rsidRDefault="00EF11D8" w:rsidP="00EF11D8">
      <w:pPr>
        <w:numPr>
          <w:ilvl w:val="1"/>
          <w:numId w:val="17"/>
        </w:numPr>
        <w:shd w:val="clear" w:color="auto" w:fill="FFF2CC"/>
      </w:pPr>
      <w:r w:rsidRPr="00EF11D8">
        <w:t>E-commerce: [✓] Localized payments [✓] Multilingual support [✓] Others: (see details below)</w:t>
      </w:r>
      <w:proofErr w:type="gramStart"/>
      <w:r w:rsidRPr="00EF11D8"/>
      <w:proofErr w:type="gramEnd"/>
      <w:r w:rsidRPr="00EF11D8"/>
      <w:proofErr w:type="gramStart"/>
      <w:r w:rsidRPr="00EF11D8"/>
      <w:proofErr w:type="gramEnd"/>
      <w:r w:rsidRPr="00EF11D8"/>
      <w:proofErr w:type="gramStart"/>
      <w:r w:rsidRPr="00EF11D8"/>
      <w:proofErr w:type="gramEnd"/>
      <w:r w:rsidRPr="00EF11D8"/>
    </w:p>
    <w:p w14:paraId="630BA971" w14:textId="77777777" w:rsidR="00EF11D8" w:rsidRPr="00EF11D8" w:rsidRDefault="00EF11D8" w:rsidP="00EF11D8">
      <w:pPr>
        <w:numPr>
          <w:ilvl w:val="1"/>
          <w:numId w:val="17"/>
        </w:numPr>
        <w:shd w:val="clear" w:color="auto" w:fill="FFF2CC"/>
      </w:pPr>
      <w:r w:rsidRPr="00EF11D8">
        <w:t>Gaming: [✓] Low-latency architecture [✓] Localized operations [✓] Others: (see details below)</w:t>
      </w:r>
      <w:proofErr w:type="gramStart"/>
      <w:r w:rsidRPr="00EF11D8"/>
      <w:proofErr w:type="gramEnd"/>
      <w:r w:rsidRPr="00EF11D8"/>
      <w:proofErr w:type="gramStart"/>
      <w:r w:rsidRPr="00EF11D8"/>
      <w:proofErr w:type="gramEnd"/>
      <w:r w:rsidRPr="00EF11D8"/>
      <w:proofErr w:type="gramStart"/>
      <w:r w:rsidRPr="00EF11D8"/>
      <w:proofErr w:type="gramEnd"/>
      <w:r w:rsidRPr="00EF11D8"/>
    </w:p>
    <w:p>
      <w:pPr>
        <w:rPr>
          <w:rFonts w:ascii="Arial" w:hAnsi="Arial"/>
          <w:sz w:val="20"/>
        </w:rPr>
      </w:pPr>
      <w:r>
        <w:rPr>
          <w:rFonts w:ascii="Arial" w:hAnsi="Arial"/>
          <w:sz w:val="20"/>
          <w:color w:val="333333"/>
        </w:rPr>
        <w:t>Gaming is Tencent Cloud's deepest vertical for going global. iResearch's 2025 China Game Cloud Technology report ranks Tencent Cloud first overall; IDC's 2025 H1 China game-cloud market study places Tencent Cloud first in usage scale for multiple consecutive periods and first in revenue growth among the top three; and Omdia's "Market Radar: Cloud Platforms for Games – 2025" placed Tencent Cloud in the global Leader quadrant — the only Chinese cloud vendor — with the highest "Advanced" rating across game servers, multi-player services, and AI &amp; ML. Tencent Cloud serves more than 95% of leading Chinese game studios going global, including Kuro Games, iDreamSky, Seasun, Lilith, Perfect World, and Giant Network, alongside international blockbusters such as PUBG MOBILE (1B+ global downloads), Honor of Kings, Clash Royale (Supercell), Kabam titles, Habby's Archero, NetMarble, Love and Deepspace, Ragnarok Online 3, and Lucky Defense.</w:t>
      </w:r>
    </w:p>
    <w:p>
      <w:pPr>
        <w:rPr>
          <w:rFonts w:ascii="Arial" w:hAnsi="Arial"/>
          <w:sz w:val="20"/>
        </w:rPr>
      </w:pPr>
      <w:r>
        <w:rPr>
          <w:rFonts w:ascii="Arial" w:hAnsi="Arial"/>
          <w:sz w:val="20"/>
          <w:color w:val="333333"/>
        </w:rPr>
        <w:t>On low-latency, Tencent Cloud operates self-built data centers in 64 availability zones across 22 regions worldwide, with 200+ premium BGP networks, 3,200 CDN nodes, and 200 Tbps of reserved bandwidth. EdgeOne for gaming covers 70+ regions and 3,200+ PoPs with up to 15 Tbps of global DDoS-mitigation capacity. AIA (Anycast Internet Acceleration) and GAAP (Global Application Acceleration) target cross-border latency, packet loss, and jitter, with unified-domain nearest-edge access for fair global play. GME / GVoice maintains smooth voice under 50% packet loss and 1000ms jitter across 2,800+ acceleration nodes and a top-20-line BGP, covering 70+ countries on six continents. On local operations, two reference architectures are publicly documented — distributed deployment for MMO and centralised deployment for sandbox or SLG — and battle-server hosting saves 35% of compute cost versus self-managed; senior solution architects, 24x7 service with response within 60 seconds, post-paid uncapped bandwidth, and free-test funds round out the offer. Operationally, Tencent Cloud has nine overseas technical-support centres in Jakarta, Manila, Kuala Lumpur, Singapore, Bangkok, Tokyo, Seoul, Palo Alto, and Frankfurt, plus 11 regional offices and more than 100 global technical-support touchpoints.</w:t>
      </w:r>
    </w:p>
    <w:p>
      <w:pPr>
        <w:rPr>
          <w:rFonts w:ascii="Arial" w:hAnsi="Arial"/>
          <w:sz w:val="20"/>
        </w:rPr>
      </w:pPr>
      <w:r>
        <w:rPr>
          <w:rFonts w:ascii="Arial" w:hAnsi="Arial"/>
          <w:sz w:val="20"/>
          <w:color w:val="333333"/>
        </w:rPr>
        <w:t>Anchor cases: Kuro Games' Wuthering Waves achieved minute-level server deployment across six global regions for launch, with elastic scaling and intelligent traffic scheduling supporting 32 million pre-registered users; Giant Network's Among Us derivative integrated Hunyuan Turbo S so that 200 million registered players play alongside more than 7 million AI agents with independent reasoning chains, generating nearly 900,000 AI matches in the first month; Reverse: 1999 used EdgeOne for real-time voice and combat-command synchronisation plus ACE for anti-cheat on launch day, taking the iOS Free top spot; Honor of Kings' Brazil expansion built a local-acceleration network on EdgeOne for stable login, payment, and social experience; iDreamSky's Strinova introduced the CodeBuddy AI code assistant for over 10% R&amp;D-efficiency gains and topped both iOS Free and Android charts on day one of open beta. Supporting capability includes ACE anti-cheat (700M+ players cumulatively, hundreds of titles, 2-3 API integration), TcaplusDB (PB-level distributed NoSQL purpose-built for games, powering King of Glory and Peace Elite), the Hunyuan 3D series and Hunyuan Game Visual Generation Platform (tens of times faster art-asset production), EdgeOne edge AI (0.5ms cold start, malicious traffic reduced from 80% to 0.2% in real time), and GME's status as the only China-developed voice SDK listed in the PlayStation and Nintendo Switch third-party tool and middleware catalogues, with full PS5/PS4/Xbox/Switch/macOS/Windows/iOS/Android coverage.</w:t>
      </w:r>
    </w:p>
    <w:p w14:paraId="51704172" w14:textId="77777777" w:rsidR="00EF11D8" w:rsidRPr="00EF11D8" w:rsidRDefault="00EF11D8" w:rsidP="00EF11D8">
      <w:pPr>
        <w:numPr>
          <w:ilvl w:val="1"/>
          <w:numId w:val="17"/>
        </w:numPr>
        <w:shd w:val="clear" w:color="auto" w:fill="FFF2CC"/>
      </w:pPr>
      <w:r w:rsidRPr="00EF11D8">
        <w:t>Finance: [✓] Compliance risk control [✓] Cross-border payments [✓] Others: (see details below)</w:t>
      </w:r>
      <w:proofErr w:type="gramStart"/>
      <w:r w:rsidRPr="00EF11D8"/>
      <w:proofErr w:type="gramEnd"/>
      <w:r w:rsidRPr="00EF11D8"/>
      <w:proofErr w:type="gramStart"/>
      <w:r w:rsidRPr="00EF11D8"/>
      <w:proofErr w:type="gramEnd"/>
      <w:r w:rsidRPr="00EF11D8"/>
      <w:proofErr w:type="gramStart"/>
      <w:r w:rsidRPr="00EF11D8"/>
      <w:proofErr w:type="gramEnd"/>
      <w:r w:rsidRPr="00EF11D8"/>
    </w:p>
    <w:p>
      <w:pPr>
        <w:rPr>
          <w:rFonts w:ascii="Arial" w:hAnsi="Arial"/>
          <w:sz w:val="20"/>
        </w:rPr>
      </w:pPr>
      <w:r>
        <w:rPr>
          <w:rFonts w:ascii="Arial" w:hAnsi="Arial"/>
          <w:sz w:val="20"/>
          <w:color w:val="333333"/>
        </w:rPr>
        <w:t>Tencent Cloud International serves more than 10,000 financial customers across 20 countries and regions, with nearly 400 overseas clients and high-double-digit annual growth over the past three years. The technology stack centres on TDSQL — finance-grade strong consistency, distributed horizontal scalability, and cross-region disaster recovery — combined with CDC / CDZ / TCE infrastructure, the WAF / Anti-DDoS / CWP / KMS security suite, the TSF / API Gateway / TKE microservice stack, the AI suite (Face Recognition, OCR, Tencent Cloud TI Platform), the Mobile Financial Channel, and the TBDS business-data platform.</w:t>
      </w:r>
    </w:p>
    <w:p>
      <w:pPr>
        <w:rPr>
          <w:rFonts w:ascii="Arial" w:hAnsi="Arial"/>
          <w:sz w:val="20"/>
        </w:rPr>
      </w:pPr>
      <w:r>
        <w:rPr>
          <w:rFonts w:ascii="Arial" w:hAnsi="Arial"/>
          <w:sz w:val="20"/>
          <w:color w:val="333333"/>
        </w:rPr>
        <w:t>For risk, Tencent Cloud Tianyu (天御) released its overseas-transaction risk-control solution on 28 May 2025, built on a dual engine of "AI-driven dynamic risk control + global threat intelligence" with three layers of defence: intelligent human-machine verification, device-security identification, and tiered screening. The solution achieves a 99.5% interception rate against fraud and a 70% improvement in compliance-adaptation efficiency. In production, one direct-to-consumer e-commerce customer cut its fraud rate from 0.9% to 0.25% and lifted payment success from 85% to 89% within four months; a cross-border e-commerce customer reduced its chargeback rate from over 1% to under 0.25% in three months, intercepting more than ten organised attacks and over 2,000 fraudulent transactions and avoiding more than US$80,000 in losses. The eKYC face-recognition solution and an AI x Identity panel on deepfake and digital-identity risk were demonstrated to financial institutions at Hong Kong FinTech Week 2025.</w:t>
      </w:r>
    </w:p>
    <w:p>
      <w:pPr>
        <w:rPr>
          <w:rFonts w:ascii="Arial" w:hAnsi="Arial"/>
          <w:sz w:val="20"/>
        </w:rPr>
      </w:pPr>
      <w:r>
        <w:rPr>
          <w:rFonts w:ascii="Arial" w:hAnsi="Arial"/>
          <w:sz w:val="20"/>
          <w:color w:val="333333"/>
        </w:rPr>
        <w:t>On cross-border, the framing is honest. Tencent Cloud does not market local payment as its own product SKU; instead, customer needs are covered through two paths. First, the Tencent Group ecosystem — Weixin Pay, WeChat Pay HK, and TenPay Global — showcased cross-border payment innovations at Hong Kong FinTech Week 2025. Second, financial ISVs build on Tencent Cloud as their infrastructure: Wifitone (威富通) on Tencent Cloud serves more than 200 overseas financial institutions including BOC HK and Tiqmo in the Middle East, processing over 40 million transactions per day. The strongest cross-border-fintech reference customer is iyzico in Türkiye — Tencent Cloud built its first European cloud-business platform, supporting expansion of its virtual-payment solution across the EU on a high-availability, compliance-grade architecture that today supports more than 185,000 merchants. The Hong Kong customer roster includes Futu Securities, Fusion Bank, Airstar Bank, AIA, and BOC (HK), with Fusion Bank completing a next-generation core-banking migration in 15 hours and Airstar Bank moving fully to cloud operations; this is customer-side regulatory exposure, and Tencent Cloud does not claim a Hong Kong financial-industry certification at the platform level. Platform-level compliance is covered by OSPAR (Singapore ABS, MAS-aligned), MTCS Level 3, KISMS, ISO 27701 (world-first cloud), CISPE (Europe), PCI DSS Level 1, SOC 1/2/3, and CSA STAR Gold.</w:t>
      </w:r>
    </w:p>
    <w:p w14:paraId="37AFDE5A" w14:textId="283764EA" w:rsidR="00EF11D8" w:rsidRPr="00EF11D8" w:rsidRDefault="00EF11D8" w:rsidP="00EF11D8">
      <w:pPr>
        <w:numPr>
          <w:ilvl w:val="0"/>
          <w:numId w:val="17"/>
        </w:numPr>
        <w:shd w:val="clear" w:color="auto" w:fill="FFF2CC"/>
      </w:pPr>
      <w:r w:rsidRPr="00EF11D8">
        <w:t>Out-of-the-Box Solutions:</w:t>
      </w:r>
      <w:r w:rsidRPr="00EF11D8">
        <w:br/>
        <w:t>Describe one "out-of-the-box" industry solution (scenario, core features, client benefits)</w:t>
      </w:r>
    </w:p>
    <w:p>
      <w:pPr>
        <w:rPr>
          <w:rFonts w:ascii="Arial" w:hAnsi="Arial"/>
          <w:sz w:val="20"/>
        </w:rPr>
      </w:pPr>
      <w:r>
        <w:rPr>
          <w:rFonts w:ascii="Arial" w:hAnsi="Arial"/>
          <w:sz w:val="20"/>
          <w:color w:val="333333"/>
        </w:rPr>
        <w:t>We present Tencent Cloud's gaming solution as the "out-of-the-box" industry solution example:</w:t>
      </w:r>
    </w:p>
    <w:p>
      <w:pPr>
        <w:rPr>
          <w:rFonts w:ascii="Arial" w:hAnsi="Arial"/>
          <w:sz w:val="20"/>
        </w:rPr>
      </w:pPr>
      <w:r>
        <w:rPr>
          <w:rFonts w:ascii="Arial" w:hAnsi="Arial"/>
          <w:sz w:val="20"/>
          <w:color w:val="333333"/>
        </w:rPr>
        <w:t>Business scenario: Chinese game studios going global face three core challenges — complex overseas network environments requiring low-latency stable connectivity across regions; elastic scaling for high-concurrency and burst traffic during launches and version updates; and significant operational risks from DDoS attacks, cheating, cross-border payments, and social compliance. Tencent Cloud's gaming solution covers the full lifecycle of overseas game development and operations, from infrastructure, network acceleration, and security protection to game data layers and in-game social features (IM and voice), packaged for out-of-the-box deployment. It supports MMORPG, FPS/MOBA, SLG, casual competitive, and other mainstream genres across both distributed and centralized deployment architectures. During GDC 2025, Omdia's "Market Radar: Cloud Platforms for Games — 2025" report placed Tencent Cloud in the global Leader quadrant (alongside AWS, Microsoft, and Google), with the highest "Advanced" rating across game servers, multiplayer services, and regional coverage. IDC's China Game Cloud Market Tracking Study 2024H2 simultaneously ranked Tencent Cloud first in usage scale for four consecutive years and first in revenue growth among top domestic cloud vendors for two consecutive years.</w:t>
      </w:r>
    </w:p>
    <w:p>
      <w:pPr>
        <w:rPr>
          <w:rFonts w:ascii="Arial" w:hAnsi="Arial"/>
          <w:sz w:val="20"/>
        </w:rPr>
      </w:pPr>
      <w:r>
        <w:rPr>
          <w:rFonts w:ascii="Arial" w:hAnsi="Arial"/>
          <w:sz w:val="20"/>
          <w:color w:val="333333"/>
        </w:rPr>
        <w:t>Core features (out-of-the-box package):</w:t>
      </w:r>
    </w:p>
    <w:p>
      <w:pPr>
        <w:rPr>
          <w:rFonts w:ascii="Arial" w:hAnsi="Arial"/>
          <w:sz w:val="20"/>
        </w:rPr>
      </w:pPr>
      <w:r>
        <w:rPr>
          <w:rFonts w:ascii="Arial" w:hAnsi="Arial"/>
          <w:sz w:val="20"/>
          <w:color w:val="333333"/>
        </w:rPr>
        <w:t>1. Global elastic infrastructure: 22 regions, 64 AZs, 3,200+ global acceleration nodes, 400 Tbps bandwidth reserves. CVM provides high-performance compute for multiplayer servers, matchmaking, and backend services; Lighthouse provides out-of-the-box lightweight cloud servers; COS delivers 11-nines (99.999999999%) durability object storage for game assets, patches, and UGC; CLB provides L4/L7 load balancing with SYN Flood/DDoS mitigation; AIA (Anycast Internet Acceleration) routes players to the nearest edge via Anycast EIP, reducing cross-border latency, packet loss, and jitter.</w:t>
      </w:r>
    </w:p>
    <w:p>
      <w:pPr>
        <w:rPr>
          <w:rFonts w:ascii="Arial" w:hAnsi="Arial"/>
          <w:sz w:val="20"/>
        </w:rPr>
      </w:pPr>
      <w:r>
        <w:rPr>
          <w:rFonts w:ascii="Arial" w:hAnsi="Arial"/>
          <w:sz w:val="20"/>
          <w:color w:val="333333"/>
        </w:rPr>
        <w:t>2. EdgeOne integrated edge security and acceleration: Single-platform static/dynamic acceleration, Layer 4 TCP/UDP acceleration, DDoS and CC protection, web protection, and bot management; 70+ regions globally, 3,200+ PoPs, 200 Tbps reserve bandwidth, up to 15 Tbps global mitigation capacity.</w:t>
      </w:r>
    </w:p>
    <w:p>
      <w:pPr>
        <w:rPr>
          <w:rFonts w:ascii="Arial" w:hAnsi="Arial"/>
          <w:sz w:val="20"/>
        </w:rPr>
      </w:pPr>
      <w:r>
        <w:rPr>
          <w:rFonts w:ascii="Arial" w:hAnsi="Arial"/>
          <w:sz w:val="20"/>
          <w:color w:val="333333"/>
        </w:rPr>
        <w:t>3. GME (Game Multimedia Engine) in-game real-time voice: One-stop gaming voice solution covering voice chat, voice messaging, and speech-to-text (120 languages); smooth communication under 50% packet loss and 1,000ms jitter; support for 3D spatial audio (HRTF + distance EQ compensation); the only Chinese voice SDK listed in both PlayStation and Nintendo Switch third-party developer tool catalogs, with full PS5/PS4/Xbox/Switch/macOS/Windows/iOS/Android platform coverage.</w:t>
      </w:r>
    </w:p>
    <w:p>
      <w:pPr>
        <w:rPr>
          <w:rFonts w:ascii="Arial" w:hAnsi="Arial"/>
          <w:sz w:val="20"/>
        </w:rPr>
      </w:pPr>
      <w:r>
        <w:rPr>
          <w:rFonts w:ascii="Arial" w:hAnsi="Arial"/>
          <w:sz w:val="20"/>
          <w:color w:val="333333"/>
        </w:rPr>
        <w:t>4. Chat (IM) in-game social: Multiple chatroom types for lobby, party, and global chat with user profile and relationship chain support; nodes across Asia Pacific, North America, Europe, the Middle East, Africa, and Latin America for proximate access.</w:t>
      </w:r>
    </w:p>
    <w:p>
      <w:pPr>
        <w:rPr>
          <w:rFonts w:ascii="Arial" w:hAnsi="Arial"/>
          <w:sz w:val="20"/>
        </w:rPr>
      </w:pPr>
      <w:r>
        <w:rPr>
          <w:rFonts w:ascii="Arial" w:hAnsi="Arial"/>
          <w:sz w:val="20"/>
          <w:color w:val="333333"/>
        </w:rPr>
        <w:t>5. ACE (Anti-Cheat Expert): Joint product of Tencent Cloud mobile security and game security teams, integrable with 2-3 APIs; 24/7 multi-dimensional protection, serving 700 million+ players across hundreds of games including Honor of Kings and Naruto; also handling AI/UGC content moderation, multilingual adaptation, and regional compliance for overseas launches.</w:t>
      </w:r>
    </w:p>
    <w:p>
      <w:pPr>
        <w:rPr>
          <w:rFonts w:ascii="Arial" w:hAnsi="Arial"/>
          <w:sz w:val="20"/>
        </w:rPr>
      </w:pPr>
      <w:r>
        <w:rPr>
          <w:rFonts w:ascii="Arial" w:hAnsi="Arial"/>
          <w:sz w:val="20"/>
          <w:color w:val="333333"/>
        </w:rPr>
        <w:t>6. Game-specific data layer: TcaplusDB distributed NoSQL database (PB-level game data storage) + Tendis (Redis-compatible hybrid storage for high-concurrency operational event caching), both deployed in top-tier titles including Honor of Kings and PUBG Mobile.</w:t>
      </w:r>
    </w:p>
    <w:p>
      <w:pPr>
        <w:rPr>
          <w:rFonts w:ascii="Arial" w:hAnsi="Arial"/>
          <w:sz w:val="20"/>
        </w:rPr>
      </w:pPr>
      <w:r>
        <w:rPr>
          <w:rFonts w:ascii="Arial" w:hAnsi="Arial"/>
          <w:sz w:val="20"/>
          <w:color w:val="333333"/>
        </w:rPr>
        <w:t>7. GAAP (Global Application Acceleration Platform): Supports multi-region unified domain access with intelligent routing and high-speed tunneling for "global single-server" architecture, ensuring fair cross-regional competitive experience.</w:t>
      </w:r>
    </w:p>
    <w:p>
      <w:pPr>
        <w:rPr>
          <w:rFonts w:ascii="Arial" w:hAnsi="Arial"/>
          <w:sz w:val="20"/>
        </w:rPr>
      </w:pPr>
      <w:r>
        <w:rPr>
          <w:rFonts w:ascii="Arial" w:hAnsi="Arial"/>
          <w:sz w:val="20"/>
          <w:color w:val="333333"/>
        </w:rPr>
        <w:t>8. Battle-Server Hosting: Managed battle room allocation and destruction logic with pay-per-use billing, saving 35% on battle server compute costs compared to self-managed infrastructure.</w:t>
      </w:r>
    </w:p>
    <w:p>
      <w:pPr>
        <w:rPr>
          <w:rFonts w:ascii="Arial" w:hAnsi="Arial"/>
          <w:sz w:val="20"/>
        </w:rPr>
      </w:pPr>
      <w:r>
        <w:rPr>
          <w:rFonts w:ascii="Arial" w:hAnsi="Arial"/>
          <w:sz w:val="20"/>
          <w:color w:val="333333"/>
        </w:rPr>
        <w:t>Optional AI enhancements: GiiNEX Game AI Engine covering game distribution, content generation, and UGC; Hunyuan large model (including Hunyuan-large-role for character roleplay and Turbo S for fast reasoning) + vector database + ACE composable into "intelligent NPC" solutions, deployed at scale in BUD's AI Season.</w:t>
      </w:r>
    </w:p>
    <w:p>
      <w:pPr>
        <w:rPr>
          <w:rFonts w:ascii="Arial" w:hAnsi="Arial"/>
          <w:sz w:val="20"/>
        </w:rPr>
      </w:pPr>
      <w:r>
        <w:rPr>
          <w:rFonts w:ascii="Arial" w:hAnsi="Arial"/>
          <w:sz w:val="20"/>
          <w:color w:val="333333"/>
        </w:rPr>
        <w:t>Customer outcomes (public cases): PUBG Mobile achieved "global single-server" through Tencent Cloud's global deployment, acceleration, and security protection for smooth, fair competitive experience across all global players. Clash Royale uses GAAP for lowest-latency direct connection from global players to US-based origin servers. Habby (Archero) uses Chat for multi-type in-game messaging; the game reached top 10 on App Store downloads in 46 countries/regions. Dark and Darker integrated GME's one-stop voice SDK with 3D spatial audio for significantly enhanced immersion. Kuro Games' Wuthering Waves achieved minute-level server deployment across six global regions for launch with elastic scaling supporting 32 million pre-registered users. Reverse: 1999 used EdgeOne for real-time voice and combat command synchronization plus ACE anti-cheat, topping the iOS Free chart on launch day. Honor of Kings' Brazil market expansion built a local acceleration network on EdgeOne. BUD deployed "intelligent life-form" NPCs based on Hunyuan + vector database + ACE across multiple overseas markets. Battle-server hosting saves game studios 35% on battle server compute costs.</w:t>
      </w:r>
    </w:p>
    <w:p w14:paraId="0FDC1526" w14:textId="657DAA0B" w:rsidR="00EF11D8" w:rsidRPr="00EF11D8" w:rsidRDefault="00EF11D8" w:rsidP="00EF11D8">
      <w:pPr>
        <w:rPr>
          <w:b/>
          <w:bCs/>
        </w:rPr>
        <w:shd w:val="clear" w:color="auto" w:fill="FFF2CC"/>
      </w:pPr>
      <w:r w:rsidRPr="00EF11D8">
        <w:rPr>
          <w:b/>
          <w:bCs/>
        </w:rPr>
        <w:t>VII. Open Questions</w:t>
      </w:r>
    </w:p>
    <w:p w14:paraId="48ACABD3" w14:textId="24F99814" w:rsidR="00EF11D8" w:rsidRPr="00EF11D8" w:rsidRDefault="00EF11D8" w:rsidP="00EF11D8">
      <w:pPr>
        <w:numPr>
          <w:ilvl w:val="0"/>
          <w:numId w:val="18"/>
        </w:numPr>
        <w:shd w:val="clear" w:color="auto" w:fill="FFF2CC"/>
      </w:pPr>
      <w:r w:rsidRPr="00EF11D8">
        <w:t>Future Roadmap:</w:t>
      </w:r>
      <w:r w:rsidRPr="00EF11D8">
        <w:br/>
        <w:t>What capabilities will you prioritize for "Chinese Enterprises Going Global" in the next 12 months?</w:t>
      </w:r>
    </w:p>
    <w:p>
      <w:pPr>
        <w:rPr>
          <w:rFonts w:ascii="Arial" w:hAnsi="Arial"/>
          <w:sz w:val="20"/>
        </w:rPr>
      </w:pPr>
      <w:r>
        <w:rPr>
          <w:rFonts w:ascii="Arial" w:hAnsi="Arial"/>
          <w:sz w:val="20"/>
          <w:color w:val="333333"/>
        </w:rPr>
        <w:t>Tencent Cloud's capability roadmap for Chinese enterprises going global over the next 12 months follows the three-pillar framework of "infrastructure / technology products / service capabilities" publicly disclosed at the 2025 Global Digital Ecosystem Summit, anchored to the public release cadence from Q4 2025 through April 2026. The following four themes are limited to publicly disclosed commitments; undisclosed specifics and certification targets are subject to confirmation by the strategy team.</w:t>
      </w:r>
    </w:p>
    <w:p>
      <w:pPr>
        <w:rPr>
          <w:rFonts w:ascii="Arial" w:hAnsi="Arial"/>
          <w:sz w:val="20"/>
        </w:rPr>
      </w:pPr>
      <w:r>
        <w:rPr>
          <w:rFonts w:ascii="Arial" w:hAnsi="Arial"/>
          <w:sz w:val="20"/>
          <w:color w:val="333333"/>
        </w:rPr>
        <w:t>Theme 1: Infrastructure acceleration in core going-global corridors. Tencent Cloud has publicly committed to investing USD 150 million in Saudi Arabia to build its first Middle East data center, deepening the Middle East presence alongside the Riyadh region launched in 2025. A third data center in Osaka, Japan and a new Osaka office have been announced, extending Tencent Cloud's Japanese AZ count to three. In Europe, at MWC in March 2026, Tencent Cloud formally announced a third availability zone in Frankfurt, Germany, planned for go-live in Q2 2026. The third Jakarta data center was deployed in 2025. As of Q4 2025, Tencent Cloud's global infrastructure baseline stands at 22 regions, 64 availability zones, 3,200+ global acceleration nodes, and 400 Tbps bandwidth reserves, serving as the deepening deployment baseline for the next 12 months.</w:t>
      </w:r>
    </w:p>
    <w:p>
      <w:pPr>
        <w:rPr>
          <w:rFonts w:ascii="Arial" w:hAnsi="Arial"/>
          <w:sz w:val="20"/>
        </w:rPr>
      </w:pPr>
      <w:r>
        <w:rPr>
          <w:rFonts w:ascii="Arial" w:hAnsi="Arial"/>
          <w:sz w:val="20"/>
          <w:color w:val="333333"/>
        </w:rPr>
        <w:t>Theme 2: AI going-global product portfolio advancing end-to-end from infrastructure compute to upper-layer agents. Tencent Cloud officially released the Agent Product Panorama in March 2026, covering the TokenHub large model service platform, Agent Development Platform ADP, enterprise ClawPro, QClaw, office assistant WorkBuddy, and development assistant CodeBuddy product lines. TokenHub MaaS supports proprietary Hunyuan plus mainstream third-party models (DeepSeek, MiniMax, Kimi, GLM); in April 2026, Hunyuan Hy3 preview was onboarded to TokenHub at RMB 1.2 per million input tokens. For going-global products, QClaw's international edition entered beta in the US, Canada, Singapore, and South Korea in April 2026, with multilingual support (Chinese, English, French, Spanish, Korean) and confirmed ongoing regional expansion; CodeBuddy and TCADP international editions are publicly available; Hunyuan 3D has been available overseas since November 2025, integrated by Maxon into Cinema 4D; HY-World 2.0 was released and open-sourced to GitHub in April 2026. On April 28, 2026, enterprise Agent capabilities were further expanded with ClawPro private cloud edition, ADP Smart Workbench, Agent Memory, Agent Storage, and other products, reflecting a sustained high-frequency iteration cadence.</w:t>
      </w:r>
    </w:p>
    <w:p>
      <w:pPr>
        <w:rPr>
          <w:rFonts w:ascii="Arial" w:hAnsi="Arial"/>
          <w:sz w:val="20"/>
        </w:rPr>
        <w:shd w:val="clear" w:color="auto" w:fill="FFF2CC"/>
      </w:pPr>
      <w:r>
        <w:rPr>
          <w:rFonts w:ascii="Arial" w:hAnsi="Arial"/>
          <w:sz w:val="20"/>
          <w:color w:val="333333"/>
        </w:rPr>
        <w:t>Theme 3: Local service network and ecosystem expansion. Tencent Cloud has established 11 regional offices and 9 technical support centers globally, with 100+ global technical support touchpoints covering 30+ industries and 80+ countries and regions. The 9 technical support centers (Jakarta, Manila, Kuala Lumpur, Singapore, Bangkok, Tokyo, Seoul, Palo Alto, Frankfurt) provide 24x7 localized service. On the ecosystem front, the "Going-Global Ecosystem Launchpad Program" was officially launched in April 2026, integrating cross-border e-commerce, general SaaS, overseas entertainment, online payments, online advertising, and other ecosystem partners through three pillars: going-global benefits, partner directory, and knowledge services.</w:t>
      </w:r>
    </w:p>
    <w:p>
      <w:pPr>
        <w:rPr>
          <w:rFonts w:ascii="Arial" w:hAnsi="Arial"/>
          <w:sz w:val="20"/>
        </w:rPr>
      </w:pPr>
      <w:r>
        <w:rPr>
          <w:rFonts w:ascii="Arial" w:hAnsi="Arial"/>
          <w:sz w:val="20"/>
          <w:color w:val="333333"/>
        </w:rPr>
        <w:t>Theme 4: Compliance breadth and localized compliance depth. Tencent Cloud has accumulated over 400 authoritative domestic and international certifications across 20+ domains of global standards including GDPR, SOC, and ISO, constituting the existing compliance baseline. Tencent's senior legal counsel team has publicly issued overseas AI compliance guidance covering EU data localization, cross-border transfer SCC, model training data authorization traceability, AI-generated content watermarking, and full-process review. Looking ahead 12 months, Tencent Cloud has stated it will continue to increase global infrastructure and AI technology investment, with local certifications in the Middle East, Latin America, and specific European regions (such as Saudi SAMA CCC, NCA ECC, CST CCC, Brazil LGPD third-party assessment, ANPD, etc.) on the roadmap.</w:t>
      </w:r>
    </w:p>
    <w:p w14:paraId="23489A0A" w14:textId="77777777" w:rsidR="00EF11D8" w:rsidRPr="00EF11D8" w:rsidRDefault="00EF11D8" w:rsidP="00EF11D8">
      <w:pPr>
        <w:numPr>
          <w:ilvl w:val="0"/>
          <w:numId w:val="18"/>
        </w:numPr>
        <w:shd w:val="clear" w:color="auto" w:fill="FFF2CC"/>
      </w:pPr>
      <w:r w:rsidRPr="00EF11D8">
        <w:t>Critical Improvement:</w:t>
      </w:r>
      <w:r w:rsidRPr="00EF11D8">
        <w:br/>
        <w:t>What is the most urgent gap in current cloud services for Chinese enterprises going global?</w:t>
      </w:r>
    </w:p>
    <w:p>
      <w:pPr>
        <w:rPr>
          <w:rFonts w:ascii="Arial" w:hAnsi="Arial"/>
          <w:sz w:val="20"/>
        </w:rPr>
      </w:pPr>
      <w:r>
        <w:rPr>
          <w:rFonts w:ascii="Arial" w:hAnsi="Arial"/>
          <w:sz w:val="20"/>
          <w:color w:val="333333"/>
        </w:rPr>
        <w:t>The most pressing industry-level gap is the paradox of "unified principles, fragmented implementation" in global data sovereignty and compliance rules — markets have largely converged on core principles such as personal data protection rights and corporate responsibilities, but diverge significantly in specific rules. No cloud provider (including ourselves) has truly abstracted this complexity away at the platform level. Tencent Senior Legal Counsel Tian Zhan publicly noted that 144 countries now have their own data protection laws, and enterprises going global must assume every target market has compliance requirements by default. Compliance itself is a dynamic and multidimensional process involving licensing, data localization and residency, AI regulation, and different legal responsibilities depending on whether the enterprise serves as "data controller" or "data processor." Even within major target markets, differences are stark: the US adopts fragmented sectoral legislation testing enterprise adaptability; the EU's GDPR imposes stringent privacy requirements; Indonesia has explicit restrictions on cross-border data flows; Brazil requires financial data local storage; and Middle Eastern markets including Saudi Arabia, the UAE, and Qatar each have their own PDPL and local enforcement pathways that continue to evolve rapidly. In other words, cross-border data flows are currently not a platform toggle but an engineering task requiring jurisdiction-by-jurisdiction negotiation and configuration.</w:t>
      </w:r>
    </w:p>
    <w:p>
      <w:pPr>
        <w:rPr>
          <w:rFonts w:ascii="Arial" w:hAnsi="Arial"/>
          <w:sz w:val="20"/>
        </w:rPr>
      </w:pPr>
      <w:r>
        <w:rPr>
          <w:rFonts w:ascii="Arial" w:hAnsi="Arial"/>
          <w:sz w:val="20"/>
          <w:color w:val="333333"/>
        </w:rPr>
        <w:t>This gap is widening, not narrowing, in the AI era. Global AI regulation is tightening, with data compliance, intellectual property, and market access emerging as the three high-risk domains for going global. In engineering practice, this translates into at least four new constraint layers: the EU requires data local-first storage and treats "remote access" as cross-border transfer (requiring SCC signing); model training data must ensure authorization traceability and avoid pirated datasets; AI-generated content must implement watermarking and identification with full-process review mechanisms; and compliant, controllable local models should be adopted to avoid third-party model geographic restrictions and commercial licensing uncertainties.</w:t>
      </w:r>
    </w:p>
    <w:p w14:paraId="696ADE91" w14:textId="398EFB5F" w:rsidR="00EF11D8" w:rsidRPr="00EF11D8" w:rsidRDefault="00EF11D8" w:rsidP="00EF11D8">
      <w:pPr>
        <w:pStyle w:val="ListParagraph"/>
        <w:jc w:val="center"/>
        <w:rPr>
          <w:b/>
          <w:bCs/>
          <w:sz w:val="20"/>
          <w:szCs w:val="20"/>
        </w:rPr>
        <w:shd w:val="clear" w:color="auto" w:fill="FFF2CC"/>
      </w:pPr>
      <w:r>
        <w:rPr>
          <w:rFonts w:hint="eastAsia"/>
          <w:b/>
          <w:bCs/>
          <w:sz w:val="20"/>
          <w:szCs w:val="20"/>
        </w:rPr>
        <w:lastRenderedPageBreak/>
        <w:t>2.</w:t>
      </w:r>
      <w:r>
        <w:rPr>
          <w:rFonts w:hint="eastAsia"/>
          <w:b/>
          <w:bCs/>
          <w:sz w:val="20"/>
          <w:szCs w:val="20"/>
        </w:rPr>
        <w:t>问卷内容</w:t>
      </w:r>
      <w:r>
        <w:rPr>
          <w:rFonts w:hint="eastAsia"/>
          <w:b/>
          <w:bCs/>
          <w:sz w:val="20"/>
          <w:szCs w:val="20"/>
        </w:rPr>
        <w:t>-Chinese Version</w:t>
      </w:r>
    </w:p>
    <w:p w14:paraId="72E6D14D" w14:textId="330F34D7" w:rsidR="00BE3988" w:rsidRPr="00BE3988" w:rsidRDefault="00BE3988" w:rsidP="00BE3988">
      <w:pPr>
        <w:rPr>
          <w:b/>
          <w:bCs/>
          <w:sz w:val="20"/>
          <w:szCs w:val="20"/>
        </w:rPr>
        <w:shd w:val="clear" w:color="auto" w:fill="FFF2CC"/>
      </w:pPr>
      <w:r w:rsidRPr="00BE3988">
        <w:rPr>
          <w:b/>
          <w:bCs/>
          <w:sz w:val="20"/>
          <w:szCs w:val="20"/>
        </w:rPr>
        <w:t>S</w:t>
      </w:r>
      <w:r w:rsidRPr="00BE3988">
        <w:rPr>
          <w:rFonts w:hint="eastAsia"/>
          <w:b/>
          <w:bCs/>
          <w:sz w:val="20"/>
          <w:szCs w:val="20"/>
        </w:rPr>
        <w:t xml:space="preserve">ection 1 </w:t>
      </w:r>
      <w:r w:rsidRPr="00BE3988">
        <w:rPr>
          <w:b/>
          <w:bCs/>
          <w:sz w:val="20"/>
          <w:szCs w:val="20"/>
        </w:rPr>
        <w:t>全球基础设施布局</w:t>
      </w:r>
      <w:r w:rsidRPr="00BE3988">
        <w:rPr>
          <w:b/>
          <w:bCs/>
          <w:sz w:val="20"/>
          <w:szCs w:val="20"/>
        </w:rPr>
        <w:t xml:space="preserve"> (Global Infrastructure Layout)</w:t>
      </w:r>
    </w:p>
    <w:p w14:paraId="54A40864" w14:textId="77777777" w:rsidR="00BE3988" w:rsidRPr="00BE3988" w:rsidRDefault="00BE3988" w:rsidP="00BE3988">
      <w:pPr>
        <w:numPr>
          <w:ilvl w:val="0"/>
          <w:numId w:val="3"/>
        </w:numPr>
        <w:rPr>
          <w:rFonts w:ascii="Microsoft YaHei" w:eastAsia="Microsoft YaHei" w:hAnsi="Microsoft YaHei"/>
          <w:sz w:val="20"/>
          <w:szCs w:val="20"/>
        </w:rPr>
      </w:pPr>
      <w:r w:rsidRPr="00BE3988">
        <w:rPr>
          <w:rFonts w:ascii="Microsoft YaHei" w:eastAsia="Microsoft YaHei" w:hAnsi="Microsoft YaHei"/>
          <w:sz w:val="20"/>
          <w:szCs w:val="20"/>
        </w:rPr>
        <w:t>覆盖广度：</w:t>
      </w:r>
      <w:r w:rsidRPr="00BE3988">
        <w:rPr>
          <w:rFonts w:ascii="Microsoft YaHei" w:eastAsia="Microsoft YaHei" w:hAnsi="Microsoft YaHei"/>
          <w:sz w:val="20"/>
          <w:szCs w:val="20"/>
        </w:rPr>
        <w:br/>
        <w:t>请列出贵司在以下关键目标市场（东南亚、中东、欧美、拉美）的骨干网络与数据中心具体布局：</w:t>
      </w:r>
    </w:p>
    <w:p w14:paraId="33E2D911" w14:textId="77777777" w:rsidR="00BE3988" w:rsidRPr="00BE3988" w:rsidRDefault="00BE3988" w:rsidP="00BE3988">
      <w:pPr>
        <w:numPr>
          <w:ilvl w:val="1"/>
          <w:numId w:val="3"/>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数据中心数量及覆盖国家/地区</w:t>
      </w:r>
    </w:p>
    <w:p>
      <w:pPr>
        <w:rPr>
          <w:rFonts w:ascii="Arial" w:hAnsi="Arial"/>
          <w:sz w:val="20"/>
        </w:rPr>
      </w:pPr>
      <w:r>
        <w:rPr>
          <w:rFonts w:ascii="Arial" w:hAnsi="Arial"/>
          <w:sz w:val="20"/>
          <w:color w:val="333333"/>
        </w:rPr>
        <w:t>腾讯云在全球运营 22 个地理区域、64 个可用区，海外（不含中国大陆）覆盖东南亚、东北亚、欧洲、北美、南美、中东六大区共 9 个区域。具体海外可用区分布如下：</w:t>
      </w:r>
    </w:p>
    <w:p>
      <w:pPr>
        <w:rPr>
          <w:rFonts w:ascii="Arial" w:hAnsi="Arial"/>
          <w:sz w:val="20"/>
        </w:rPr>
      </w:pPr>
      <w:r>
        <w:rPr>
          <w:rFonts w:ascii="Arial" w:hAnsi="Arial"/>
          <w:sz w:val="20"/>
          <w:color w:val="333333"/>
        </w:rPr>
        <w:t>东南亚：新加坡 4 AZ、雅加达 3 AZ、曼谷 2 AZ</w:t>
      </w:r>
    </w:p>
    <w:p>
      <w:pPr>
        <w:rPr>
          <w:rFonts w:ascii="Arial" w:hAnsi="Arial"/>
          <w:sz w:val="20"/>
        </w:rPr>
      </w:pPr>
      <w:r>
        <w:rPr>
          <w:rFonts w:ascii="Arial" w:hAnsi="Arial"/>
          <w:sz w:val="20"/>
          <w:color w:val="333333"/>
        </w:rPr>
        <w:t>东北亚：首尔 2 AZ、东京 2 AZ</w:t>
      </w:r>
    </w:p>
    <w:p>
      <w:pPr>
        <w:rPr>
          <w:rFonts w:ascii="Arial" w:hAnsi="Arial"/>
          <w:sz w:val="20"/>
        </w:rPr>
      </w:pPr>
      <w:r>
        <w:rPr>
          <w:rFonts w:ascii="Arial" w:hAnsi="Arial"/>
          <w:sz w:val="20"/>
          <w:color w:val="333333"/>
        </w:rPr>
        <w:t>中东：利雅得 2 AZ（首个中东区域，2025 年 LEAP 上发布，沙特投资 1.5 亿美元）</w:t>
      </w:r>
    </w:p>
    <w:p>
      <w:pPr>
        <w:rPr>
          <w:rFonts w:ascii="Arial" w:hAnsi="Arial"/>
          <w:sz w:val="20"/>
        </w:rPr>
      </w:pPr>
      <w:r>
        <w:rPr>
          <w:rFonts w:ascii="Arial" w:hAnsi="Arial"/>
          <w:sz w:val="20"/>
          <w:color w:val="333333"/>
        </w:rPr>
        <w:t>欧洲：法兰克福 2 AZ；</w:t>
      </w:r>
    </w:p>
    <w:p>
      <w:pPr>
        <w:rPr>
          <w:rFonts w:ascii="Arial" w:hAnsi="Arial"/>
          <w:sz w:val="20"/>
        </w:rPr>
      </w:pPr>
      <w:r>
        <w:rPr>
          <w:rFonts w:ascii="Arial" w:hAnsi="Arial"/>
          <w:sz w:val="20"/>
          <w:color w:val="333333"/>
        </w:rPr>
        <w:t>北美：硅谷 2 AZ、弗吉尼亚 2 AZ</w:t>
      </w:r>
    </w:p>
    <w:p>
      <w:pPr>
        <w:rPr>
          <w:rFonts w:ascii="Arial" w:hAnsi="Arial"/>
          <w:sz w:val="20"/>
        </w:rPr>
      </w:pPr>
      <w:r>
        <w:rPr>
          <w:rFonts w:ascii="Arial" w:hAnsi="Arial"/>
          <w:sz w:val="20"/>
          <w:color w:val="333333"/>
        </w:rPr>
        <w:t>拉美：圣保罗 1 AZ</w:t>
      </w:r>
    </w:p>
    <w:p>
      <w:pPr>
        <w:rPr>
          <w:rFonts w:ascii="Arial" w:hAnsi="Arial"/>
          <w:sz w:val="20"/>
        </w:rPr>
      </w:pPr>
      <w:r>
        <w:rPr>
          <w:rFonts w:ascii="Arial" w:hAnsi="Arial"/>
          <w:sz w:val="20"/>
          <w:color w:val="333333"/>
        </w:rPr>
        <w:t>中国大陆与香港另有 13 个区域，在客户确认合规的情况下，可经由 China Connect 方案为出海客户回连。</w:t>
      </w:r>
    </w:p>
    <w:p>
      <w:pPr>
        <w:rPr>
          <w:rFonts w:ascii="Arial" w:hAnsi="Arial"/>
          <w:sz w:val="20"/>
        </w:rPr>
      </w:pPr>
      <w:r>
        <w:rPr>
          <w:rFonts w:ascii="Arial" w:hAnsi="Arial"/>
          <w:sz w:val="20"/>
          <w:color w:val="333333"/>
        </w:rPr>
        <w:t>近期扩建：日本大阪规划新建第三个数据中心；雅加达已从 2 AZ 扩到 3 AZ</w:t>
      </w:r>
    </w:p>
    <w:p>
      <w:pPr>
        <w:rPr>
          <w:rFonts w:ascii="Arial" w:hAnsi="Arial"/>
          <w:sz w:val="20"/>
        </w:rPr>
      </w:pPr>
      <w:r>
        <w:rPr>
          <w:rFonts w:ascii="Arial" w:hAnsi="Arial"/>
          <w:sz w:val="20"/>
          <w:color w:val="333333"/>
        </w:rPr>
        <w:t>全球加速网络：3200+ 全球加速节点、400T 带宽储备。海外服务覆盖 80+ 个国家与地区，30+ 行业，海外客户规模在 2025 年同比翻番，2 万+ 海外企业客户。</w:t>
      </w:r>
    </w:p>
    <w:p>
      <w:pPr>
        <w:rPr>
          <w:rFonts w:ascii="Arial" w:hAnsi="Arial"/>
          <w:sz w:val="20"/>
        </w:rPr>
      </w:pPr>
      <w:r>
        <w:rPr>
          <w:rFonts w:ascii="Arial" w:hAnsi="Arial"/>
          <w:sz w:val="20"/>
          <w:color w:val="333333"/>
        </w:rPr>
        <w:t>腾讯云全球设有 11 个区域办公室与 9 大技术支持中心（雅加达、新加坡、东京、首尔、法兰克福等），并配套 100+ 全球技术支持触点。</w:t>
      </w:r>
    </w:p>
    <w:p w14:paraId="20AE3ADE" w14:textId="77777777" w:rsidR="00BE3988" w:rsidRPr="00BE3988" w:rsidRDefault="00BE3988" w:rsidP="00BE3988">
      <w:pPr>
        <w:numPr>
          <w:ilvl w:val="1"/>
          <w:numId w:val="3"/>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网络延迟数据（</w:t>
      </w:r>
      <w:proofErr w:type="spellStart"/>
      <w:r w:rsidRPr="00BE3988">
        <w:rPr>
          <w:rFonts w:ascii="Microsoft YaHei" w:eastAsia="Microsoft YaHei" w:hAnsi="Microsoft YaHei"/>
          <w:sz w:val="20"/>
          <w:szCs w:val="20"/>
        </w:rPr>
        <w:t>ms</w:t>
      </w:r>
      <w:proofErr w:type="spellEnd"/>
      <w:r w:rsidRPr="00BE3988">
        <w:rPr>
          <w:rFonts w:ascii="Microsoft YaHei" w:eastAsia="Microsoft YaHei" w:hAnsi="Microsoft YaHei"/>
          <w:sz w:val="20"/>
          <w:szCs w:val="20"/>
        </w:rPr>
        <w:t>）与可用区分布</w:t>
      </w:r>
    </w:p>
    <w:p>
      <w:pPr>
        <w:rPr>
          <w:rFonts w:ascii="Arial" w:hAnsi="Arial"/>
          <w:sz w:val="20"/>
        </w:rPr>
      </w:pPr>
      <w:r>
        <w:rPr>
          <w:rFonts w:ascii="Arial" w:hAnsi="Arial"/>
          <w:sz w:val="20"/>
          <w:color w:val="333333"/>
        </w:rPr>
        <w:t>每个区域为独立地理区，包含多个互相隔离的可用区；同一区域内的不同可用区通过低延迟专用网络互联。每个 AZ 都是物理独立的 IDC，具备独立电力与网络，可在不影响同区域其他 AZ 的前提下隔离故障。</w:t>
      </w:r>
    </w:p>
    <w:p>
      <w:pPr>
        <w:rPr>
          <w:rFonts w:ascii="Arial" w:hAnsi="Arial"/>
          <w:sz w:val="20"/>
        </w:rPr>
      </w:pPr>
      <w:r>
        <w:rPr>
          <w:rFonts w:ascii="Arial" w:hAnsi="Arial"/>
          <w:sz w:val="20"/>
          <w:color w:val="333333"/>
        </w:rPr>
        <w:t>跨区域 VPC 之间通过云联网（Cloud Connect Network）建立更快、更稳定的私网通信。叠加 3200+ 全球加速节点与 400T 带宽储备，为出海企业提供低延迟、高稳定的全球连接。</w:t>
      </w:r>
    </w:p>
    <w:p>
      <w:pPr>
        <w:rPr>
          <w:rFonts w:ascii="Arial" w:hAnsi="Arial"/>
          <w:sz w:val="20"/>
        </w:rPr>
      </w:pPr>
      <w:r>
        <w:rPr>
          <w:rFonts w:ascii="Arial" w:hAnsi="Arial"/>
          <w:sz w:val="20"/>
          <w:color w:val="333333"/>
        </w:rPr>
        <w:t>多 AZ 高可用部署：海外 9 个区域中，可用区数量 ≥ 2 的有 8 个（新加坡、雅加达、曼谷、首尔、东京、硅谷、弗吉尼亚、法兰克福、利雅得），均可承载跨 AZ 高可用部署；圣保罗目前为单 AZ。</w:t>
      </w:r>
    </w:p>
    <w:p w14:paraId="57151A62" w14:textId="77777777" w:rsidR="00BE3988" w:rsidRPr="00BE3988" w:rsidRDefault="00BE3988" w:rsidP="00BE3988">
      <w:pPr>
        <w:numPr>
          <w:ilvl w:val="1"/>
          <w:numId w:val="3"/>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与当地电信运营商的合作模式</w:t>
      </w:r>
    </w:p>
    <w:p>
      <w:pPr>
        <w:rPr>
          <w:rFonts w:ascii="Arial" w:hAnsi="Arial"/>
          <w:sz w:val="20"/>
        </w:rPr>
      </w:pPr>
      <w:r>
        <w:rPr>
          <w:rFonts w:ascii="Arial" w:hAnsi="Arial"/>
          <w:sz w:val="20"/>
          <w:color w:val="333333"/>
        </w:rPr>
        <w:t>中东：</w:t>
      </w:r>
    </w:p>
    <w:p>
      <w:pPr>
        <w:rPr>
          <w:rFonts w:ascii="Arial" w:hAnsi="Arial"/>
          <w:sz w:val="20"/>
        </w:rPr>
      </w:pPr>
      <w:r>
        <w:rPr>
          <w:rFonts w:ascii="Arial" w:hAnsi="Arial"/>
          <w:sz w:val="20"/>
          <w:color w:val="333333"/>
        </w:rPr>
        <w:t>沙特阿拉伯——Mobily（Etihad Etisalat）：2024 年 3 月 LEAP 2024 上联合发布"Go Saudi"项目，由腾讯云企业版支撑 Mobily 的企业云平台，覆盖计算、数据库、网络、存储、安全等基础能力，并在其上叠加腾讯云小程序平台 TCMPP。</w:t>
      </w:r>
    </w:p>
    <w:p>
      <w:pPr>
        <w:rPr>
          <w:rFonts w:ascii="Arial" w:hAnsi="Arial"/>
          <w:sz w:val="20"/>
        </w:rPr>
      </w:pPr>
      <w:r>
        <w:rPr>
          <w:rFonts w:ascii="Arial" w:hAnsi="Arial"/>
          <w:sz w:val="20"/>
          <w:color w:val="333333"/>
        </w:rPr>
        <w:t>阿联酋——e&amp; UAE（Etisalat 集团）：2025 年 9 月在腾讯全球数字生态大会国际出海峰会上作为腾讯云全球合作伙伴出席并签署合作协议</w:t>
      </w:r>
    </w:p>
    <w:p>
      <w:pPr>
        <w:rPr>
          <w:rFonts w:ascii="Arial" w:hAnsi="Arial"/>
          <w:sz w:val="20"/>
        </w:rPr>
      </w:pPr>
      <w:r>
        <w:rPr>
          <w:rFonts w:ascii="Arial" w:hAnsi="Arial"/>
          <w:sz w:val="20"/>
          <w:color w:val="333333"/>
        </w:rPr>
        <w:t>东南亚：</w:t>
      </w:r>
    </w:p>
    <w:p>
      <w:pPr>
        <w:rPr>
          <w:rFonts w:ascii="Arial" w:hAnsi="Arial"/>
          <w:sz w:val="20"/>
        </w:rPr>
      </w:pPr>
      <w:r>
        <w:rPr>
          <w:rFonts w:ascii="Arial" w:hAnsi="Arial"/>
          <w:sz w:val="20"/>
          <w:color w:val="333333"/>
        </w:rPr>
        <w:t>印尼——Telkomsel：2025 年 3 月 MWC Barcelona 签署 AI 与云的合作 MoU，覆盖三方面——B2B 段的 Palm Verification eKYC、AIGC 与 AI 翻译能力、公有云与混合云的成本优化合作；此前 2024 年已在 Telkomsel GraPARI 门店完成 Palm Verification 的 B2C 试点。</w:t>
      </w:r>
    </w:p>
    <w:p>
      <w:pPr>
        <w:rPr>
          <w:rFonts w:ascii="Arial" w:hAnsi="Arial"/>
          <w:sz w:val="20"/>
        </w:rPr>
      </w:pPr>
      <w:r>
        <w:rPr>
          <w:rFonts w:ascii="Arial" w:hAnsi="Arial"/>
          <w:sz w:val="20"/>
          <w:color w:val="333333"/>
        </w:rPr>
        <w:t>印尼——Indosat Ooredoo Hutchison（IOH）：2025 年 9 月在国际出海峰会上签署合作。</w:t>
      </w:r>
    </w:p>
    <w:p>
      <w:pPr>
        <w:rPr>
          <w:rFonts w:ascii="Arial" w:hAnsi="Arial"/>
          <w:sz w:val="20"/>
        </w:rPr>
      </w:pPr>
      <w:r>
        <w:rPr>
          <w:rFonts w:ascii="Arial" w:hAnsi="Arial"/>
          <w:sz w:val="20"/>
          <w:color w:val="333333"/>
        </w:rPr>
        <w:t>菲律宾——Converge ICT：2025 年 9 月作为腾讯云国际合作伙伴出席国际出海峰会。</w:t>
      </w:r>
    </w:p>
    <w:p>
      <w:pPr>
        <w:rPr>
          <w:rFonts w:ascii="Arial" w:hAnsi="Arial"/>
          <w:sz w:val="20"/>
        </w:rPr>
      </w:pPr>
      <w:r>
        <w:rPr>
          <w:rFonts w:ascii="Arial" w:hAnsi="Arial"/>
          <w:sz w:val="20"/>
          <w:color w:val="333333"/>
        </w:rPr>
        <w:t>东南亚跨市场——Acclivis Technologies and Solutions（中信国际电讯 CITIC Telecom International 全资子公司）：以新加坡、马来西亚、印尼、泰国、菲律宾、香港的连接性与 ICT 服务能力，与腾讯云组建联合云平台服务东南亚客户。</w:t>
      </w:r>
    </w:p>
    <w:p>
      <w:pPr>
        <w:rPr>
          <w:rFonts w:ascii="Arial" w:hAnsi="Arial"/>
          <w:sz w:val="20"/>
        </w:rPr>
      </w:pPr>
      <w:r>
        <w:rPr>
          <w:rFonts w:ascii="Arial" w:hAnsi="Arial"/>
          <w:sz w:val="20"/>
          <w:color w:val="333333"/>
        </w:rPr>
        <w:t>印尼数据中心侧——True IDC：2025 年 9 月作为合作伙伴出席国际出海峰会。</w:t>
      </w:r>
    </w:p>
    <w:p>
      <w:pPr>
        <w:rPr>
          <w:rFonts w:ascii="Arial" w:hAnsi="Arial"/>
          <w:sz w:val="20"/>
        </w:rPr>
      </w:pPr>
      <w:r>
        <w:rPr>
          <w:rFonts w:ascii="Arial" w:hAnsi="Arial"/>
          <w:sz w:val="20"/>
          <w:color w:val="333333"/>
        </w:rPr>
        <w:t>欧美 &amp; 拉美：腾讯云目前正在欧洲和拉美跟运营商有深度合作，但是目前不便公开。</w:t>
      </w:r>
    </w:p>
    <w:p w14:paraId="5FA2033B" w14:textId="77777777" w:rsidR="00BE3988" w:rsidRPr="00BE3988" w:rsidRDefault="00BE3988" w:rsidP="00BE3988">
      <w:pPr>
        <w:numPr>
          <w:ilvl w:val="0"/>
          <w:numId w:val="3"/>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覆盖深度：</w:t>
        <w:br/>
        <w:t>在目标市场，贵司如何实现"深度本地化"？（请提供具体措施）</w:t>
        <w:br/>
        <w:t>☑ 本地化部署选项 ☑ 边缘计算节点 ☑ 本地化团队 ☑ 其他：（详见下文）</w:t>
      </w:r>
      <w:r w:rsidRPr="00BE3988">
        <w:rPr>
          <w:rFonts w:ascii="Microsoft YaHei" w:eastAsia="Microsoft YaHei" w:hAnsi="Microsoft YaHei"/>
          <w:sz w:val="20"/>
          <w:szCs w:val="20"/>
        </w:rPr>
      </w:r>
      <w:r w:rsidRPr="00BE3988">
        <w:rPr>
          <w:rFonts w:ascii="Microsoft YaHei" w:eastAsia="Microsoft YaHei" w:hAnsi="Microsoft YaHei"/>
          <w:sz w:val="20"/>
          <w:szCs w:val="20"/>
        </w:rPr>
      </w:r>
    </w:p>
    <w:p w14:paraId="2E8DFB0E" w14:textId="2D012805" w:rsidR="00BE3988" w:rsidRPr="00BE3988" w:rsidRDefault="00BE3988" w:rsidP="00BE3988">
      <w:pPr>
        <w:pStyle w:val="ListParagraph"/>
        <w:numPr>
          <w:ilvl w:val="0"/>
          <w:numId w:val="3"/>
        </w:numPr>
        <w:rPr>
          <w:b/>
          <w:bCs/>
          <w:sz w:val="28"/>
          <w:szCs w:val="28"/>
        </w:rPr>
        <w:shd w:val="clear" w:color="auto" w:fill="FFF2CC"/>
      </w:pPr>
      <w:r w:rsidRPr="00BE3988">
        <w:rPr>
          <w:rFonts w:ascii="Microsoft YaHei" w:eastAsia="Microsoft YaHei" w:hAnsi="Microsoft YaHei"/>
          <w:sz w:val="20"/>
          <w:szCs w:val="20"/>
        </w:rPr>
        <w:t>关键挑战：</w:t>
      </w:r>
      <w:r w:rsidRPr="00BE3988">
        <w:rPr>
          <w:rFonts w:ascii="Microsoft YaHei" w:eastAsia="Microsoft YaHei" w:hAnsi="Microsoft YaHei"/>
          <w:sz w:val="20"/>
          <w:szCs w:val="20"/>
        </w:rPr>
        <w:br/>
        <w:t>在拓展海外基础设施时，遇到的最大挑战是什么？如何解决？</w:t>
      </w:r>
    </w:p>
    <w:p>
      <w:pPr>
        <w:rPr>
          <w:rFonts w:ascii="Arial" w:hAnsi="Arial"/>
          <w:sz w:val="20"/>
        </w:rPr>
      </w:pPr>
      <w:r>
        <w:rPr>
          <w:rFonts w:ascii="Arial" w:hAnsi="Arial"/>
          <w:sz w:val="20"/>
          <w:color w:val="333333"/>
        </w:rPr>
        <w:t>腾讯云在海外基础设施扩张中最具代表性的挑战,是在所在国数据驻留约束下完成大规模、跨境、多云的活线迁移与本地落地。</w:t>
      </w:r>
    </w:p>
    <w:p>
      <w:pPr>
        <w:rPr>
          <w:rFonts w:ascii="Arial" w:hAnsi="Arial"/>
          <w:sz w:val="20"/>
        </w:rPr>
      </w:pPr>
      <w:r>
        <w:rPr>
          <w:rFonts w:ascii="Arial" w:hAnsi="Arial"/>
          <w:sz w:val="20"/>
          <w:color w:val="333333"/>
        </w:rPr>
        <w:t>最具代表性的案例是印尼最大数字生态 GoTo 集团:其按需服务系统跨 1,000 多个微服务,必须在跨境、多云条件下完成迁移,并且按印尼数据主权要求全部落入本地数据中心。在欧洲、中东与拉美,挑战的形态略有不同——欧洲是合规架构与本地服务能力的扩容,中东与拉美则更接近从零起步建立首个自有可用区,叠加监管落地的长周期。</w:t>
      </w:r>
    </w:p>
    <w:p>
      <w:pPr>
        <w:rPr>
          <w:rFonts w:ascii="Arial" w:hAnsi="Arial"/>
          <w:sz w:val="20"/>
        </w:rPr>
      </w:pPr>
      <w:r>
        <w:rPr>
          <w:rFonts w:ascii="Arial" w:hAnsi="Arial"/>
          <w:sz w:val="20"/>
          <w:color w:val="333333"/>
        </w:rPr>
        <w:t>针对 GoTo 案例,腾讯云的解决路径分四层:第一,本地基础设施先行扩容,将雅加达地区可用区从 2 个扩到 3 个,第三个数据中心于迁移前正式投运,确保数据 100% 落在印尼境内;第二,与 GoTo 工程团队联合预备 8 个月,完成研究、压测、演练;第三,调用 50 多个腾讯云产品,覆盖云服务器、云硬盘、Web 应用防火墙、容器服务、Elasticsearch 等计算、存储、安全、容器、检索全栈——并且这 50 多个产品本身已完成面向海外市场的系统性本地化(localization)改造,涵盖区域合规适配、控制台与文档多语言化、本地化运维与客户支持体系,确保海外客户拿到的是与境内同等成熟度的产品形态;第四,使用活线迁移工具链,支持 10 多种数据库的高效复制、灾备与回滚,保障切换期间业务连续性。</w:t>
      </w:r>
    </w:p>
    <w:p>
      <w:pPr>
        <w:rPr>
          <w:rFonts w:ascii="Arial" w:hAnsi="Arial"/>
          <w:sz w:val="20"/>
        </w:rPr>
      </w:pPr>
      <w:r>
        <w:rPr>
          <w:rFonts w:ascii="Arial" w:hAnsi="Arial"/>
          <w:sz w:val="20"/>
          <w:color w:val="333333"/>
        </w:rPr>
        <w:t>这套以"多可用区架构 + 50+ 本地化产品 + 活线迁移工具链"为核心的能力组合,已从亚太被系统性地复制到欧洲,并正在进一步延伸至中东与拉美,推动腾讯云的自有可用区布局突破亚太边界。在欧洲:2026 年 3 月在 MWC 上宣布,法兰克福地区可用区从 2 个扩至 3 个、新可用区于二季度上线服务;2025 年 7 月,美的集团已将欧洲约 50 个独立业务系统迁移至腾讯云法兰克福数据中心,统一纳入云原生架构并完成容器化改造。在中东,腾讯云采用分阶段路径:先以电信运营商合作落地受监管能力——2024 年 3 月与沙特 Mobily 联合发布企业级私有云方案以满足数据驻留与监管要求;再于 2025 年 9 月正式宣布以 1.5 亿美元投资,在沙特建设腾讯云首个中东数据中心,目标是将亚太已成熟的多 AZ 形态与全栈本地化产品矩阵在该区域同步落地。在拉美,腾讯云以圣保罗节点为支点推进可用区与本地化产品矩阵建设,把亚太验证过的迁移工具链和全栈产品能力延伸至巴西及周边市场,承接中资企业出海与本地数字化的双重需求。</w:t>
      </w:r>
    </w:p>
    <w:p w14:paraId="59998E9D" w14:textId="1D167BCF" w:rsidR="00BE3988" w:rsidRPr="00BE3988" w:rsidRDefault="00BE3988" w:rsidP="00BE3988">
      <w:pPr>
        <w:rPr>
          <w:rFonts w:ascii="Microsoft YaHei" w:eastAsia="Microsoft YaHei" w:hAnsi="Microsoft YaHei"/>
          <w:b/>
          <w:bCs/>
          <w:sz w:val="20"/>
          <w:szCs w:val="20"/>
        </w:rPr>
        <w:shd w:val="clear" w:color="auto" w:fill="FFF2CC"/>
      </w:pPr>
      <w:r w:rsidRPr="00EF11D8">
        <w:rPr>
          <w:rFonts w:ascii="Microsoft YaHei" w:eastAsia="Microsoft YaHei" w:hAnsi="Microsoft YaHei" w:cs="Segoe UI Emoji"/>
          <w:b/>
          <w:bCs/>
          <w:sz w:val="20"/>
          <w:szCs w:val="20"/>
        </w:rPr>
        <w:t>S</w:t>
      </w:r>
      <w:r w:rsidRPr="00EF11D8">
        <w:rPr>
          <w:rFonts w:ascii="Microsoft YaHei" w:eastAsia="Microsoft YaHei" w:hAnsi="Microsoft YaHei" w:cs="Segoe UI Emoji" w:hint="eastAsia"/>
          <w:b/>
          <w:bCs/>
          <w:sz w:val="20"/>
          <w:szCs w:val="20"/>
        </w:rPr>
        <w:t xml:space="preserve">ection 2 </w:t>
      </w:r>
      <w:r w:rsidRPr="00BE3988">
        <w:rPr>
          <w:rFonts w:ascii="Microsoft YaHei" w:eastAsia="Microsoft YaHei" w:hAnsi="Microsoft YaHei"/>
          <w:b/>
          <w:bCs/>
          <w:sz w:val="20"/>
          <w:szCs w:val="20"/>
        </w:rPr>
        <w:t>全球全栈AI能力 (Global Full-stack AI Capabilities)</w:t>
      </w:r>
    </w:p>
    <w:p w14:paraId="7300F393" w14:textId="77777777" w:rsidR="00BE3988" w:rsidRPr="00BE3988" w:rsidRDefault="00BE3988" w:rsidP="00BE3988">
      <w:pPr>
        <w:numPr>
          <w:ilvl w:val="0"/>
          <w:numId w:val="4"/>
        </w:numPr>
        <w:rPr>
          <w:rFonts w:ascii="Microsoft YaHei" w:eastAsia="Microsoft YaHei" w:hAnsi="Microsoft YaHei"/>
          <w:sz w:val="20"/>
          <w:szCs w:val="20"/>
        </w:rPr>
      </w:pPr>
      <w:r w:rsidRPr="00BE3988">
        <w:rPr>
          <w:rFonts w:ascii="Microsoft YaHei" w:eastAsia="Microsoft YaHei" w:hAnsi="Microsoft YaHei"/>
          <w:sz w:val="20"/>
          <w:szCs w:val="20"/>
        </w:rPr>
        <w:t>能力全景：</w:t>
      </w:r>
      <w:r w:rsidRPr="00BE3988">
        <w:rPr>
          <w:rFonts w:ascii="Microsoft YaHei" w:eastAsia="Microsoft YaHei" w:hAnsi="Microsoft YaHei"/>
          <w:sz w:val="20"/>
          <w:szCs w:val="20"/>
        </w:rPr>
        <w:br/>
        <w:t>请描述贵司在全球范围内提供的生成式AI技术栈（从底层算力→大模型托管→上层应用）：</w:t>
      </w:r>
    </w:p>
    <w:p w14:paraId="068D46BE" w14:textId="77777777" w:rsidR="00BE3988" w:rsidRPr="00BE3988" w:rsidRDefault="00BE3988" w:rsidP="00BE3988">
      <w:pPr>
        <w:numPr>
          <w:ilvl w:val="1"/>
          <w:numId w:val="4"/>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支持哪些大模型框架？</w:t>
      </w:r>
    </w:p>
    <w:p>
      <w:pPr>
        <w:rPr>
          <w:rFonts w:ascii="Arial" w:hAnsi="Arial"/>
          <w:sz w:val="20"/>
        </w:rPr>
      </w:pPr>
      <w:r>
        <w:rPr>
          <w:rFonts w:ascii="Arial" w:hAnsi="Arial"/>
          <w:sz w:val="20"/>
          <w:color w:val="333333"/>
        </w:rPr>
        <w:t>腾讯云的生成式 AI 能力按三层组织。</w:t>
      </w:r>
    </w:p>
    <w:p>
      <w:pPr>
        <w:rPr>
          <w:rFonts w:ascii="Arial" w:hAnsi="Arial"/>
          <w:sz w:val="20"/>
        </w:rPr>
      </w:pPr>
      <w:r>
        <w:rPr>
          <w:rFonts w:ascii="Arial" w:hAnsi="Arial"/>
          <w:sz w:val="20"/>
          <w:color w:val="333333"/>
        </w:rPr>
        <w:t>第一层为训练与推理框架。腾讯云 TI Platform 是一站式机器学习平台，内置 PySpark、Spark、PyTorch、TensorFlow 等多种学习框架，配套 AutoML、TI-SDK，兼容 Python 与 R，支持 Git 代码管理，GPU 与 CPU 资源弹性按量计费。推理侧，腾讯混元与 NVIDIA 联合构建了基于 TensorRT-LLM 的高性能推理引擎 AngelHCF，在 NVIDIA GTC 2025 公开披露；腾讯自研的省 Token 推理优化技术已被全球主流推理框架采纳为官方方案。</w:t>
      </w:r>
    </w:p>
    <w:p>
      <w:pPr>
        <w:rPr>
          <w:rFonts w:ascii="Arial" w:hAnsi="Arial"/>
          <w:sz w:val="20"/>
        </w:rPr>
      </w:pPr>
      <w:r>
        <w:rPr>
          <w:rFonts w:ascii="Arial" w:hAnsi="Arial"/>
          <w:sz w:val="20"/>
          <w:color w:val="333333"/>
        </w:rPr>
        <w:t>第二层为自研大模型（Hunyuan 系列）。过去 12 个月混元发布 30+ 新模型并全面开源，包括混合推理模型 Hunyuan-A13B 与支持 30+ 语言的翻译模型。混元 3D 系列是这次更新的核心海外亮点：在 Hugging Face 累计下载超过 260 万次，是全球下载量最高的开源 3D 模型族；自 2025 年 11 月面向海外开放后，已被德国软件公司 Maxon 集成进 Cinema 4D（C4D）桌面应用的建模环节。2026 年 4 月，腾讯进一步开源混元 3D 世界模型 2.0（HY-World 2.0），一句话即可生成可导入 Unity 与 Unreal Engine 的 3D 场景资产；HunyuanVideo 已支撑中国 80% 头部 AI 漫剧团队的内容生产，出海北美 / 东南亚 / 日韩。新一代混元 Hy3 preview 模型已在腾讯云 TokenHub 平台上线，输入价格 1.2 元 / 百万 tokens。混元主模型本身仍以中国市场为主，海外客户通过下文上层产品消费 AI 能力。</w:t>
      </w:r>
    </w:p>
    <w:p>
      <w:pPr>
        <w:rPr>
          <w:rFonts w:ascii="Arial" w:hAnsi="Arial"/>
          <w:sz w:val="20"/>
        </w:rPr>
      </w:pPr>
      <w:r>
        <w:rPr>
          <w:rFonts w:ascii="Arial" w:hAnsi="Arial"/>
          <w:sz w:val="20"/>
          <w:color w:val="333333"/>
        </w:rPr>
        <w:t>第三层为上层应用与 Agent 能力。腾讯云智能体开发平台 ADP 于 2025 年 9 月发布 3.0 版本并面向全球推出（国际版命名 TCADP），支持 LLM+RAG、Workflow、Multi-Agent 三类智能体开发框架，配套 AI Infra Agent Runtime；3 个月内迭代近 600 项需求。2026 年 3 月发布的"腾讯云 Agent 产品全景图"覆盖基础设施层、模型服务层（TokenHub MaaS，自研混元 + 第三方模型供给）、技能生态层（开源 SkillsHub）与 AI 应用层。2026 年 4 月升级再增 ADP 智能工作台、ADP Agent Portal、ClawPro 专有云版、Agent Memory、Agent Storage；QClaw 海外版于 2026 年 4 月开启美国 / 加拿大 / 新加坡 / 韩国内测，内置多款国际顶尖大模型并支持自定义模型接入。SaaS+AI 套件包括腾讯会议 AI 小记（同比增长 150%）、腾讯乐享 LearnShare（覆盖 30 万家企业、回答准确率 92%）、CodeBuddy AI 编程助手（国际版已上线，减少编码时间 40%、研发效率提升 16%）。</w:t>
      </w:r>
    </w:p>
    <w:p w14:paraId="74DF8FB5" w14:textId="77777777" w:rsidR="00BE3988" w:rsidRPr="00BE3988" w:rsidRDefault="00BE3988" w:rsidP="00BE3988">
      <w:pPr>
        <w:numPr>
          <w:ilvl w:val="1"/>
          <w:numId w:val="4"/>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本地化AI推理/训练能力如何保障？</w:t>
      </w:r>
    </w:p>
    <w:p>
      <w:pPr>
        <w:rPr>
          <w:rFonts w:ascii="Arial" w:hAnsi="Arial"/>
          <w:sz w:val="20"/>
        </w:rPr>
      </w:pPr>
      <w:r>
        <w:rPr>
          <w:rFonts w:ascii="Arial" w:hAnsi="Arial"/>
          <w:sz w:val="20"/>
          <w:color w:val="333333"/>
        </w:rPr>
        <w:t>可公开披露的本地化 AI 能力信号（按可信度由高到低）。</w:t>
      </w:r>
    </w:p>
    <w:p>
      <w:pPr>
        <w:rPr>
          <w:rFonts w:ascii="Arial" w:hAnsi="Arial"/>
          <w:sz w:val="20"/>
        </w:rPr>
      </w:pPr>
      <w:r>
        <w:rPr>
          <w:rFonts w:ascii="Arial" w:hAnsi="Arial"/>
          <w:sz w:val="20"/>
          <w:color w:val="333333"/>
        </w:rPr>
        <w:t>第一，海外可消费的 AI 产品组合明确。腾讯云 Agent Development Platform (TCADP)、CodeBuddy、Cloud Mall 三条产品线已上线国际版本，设计目标是适配本地需求与合规口径；QClaw 海外版本已进入美国 / 加拿大 / 新加坡 / 韩国内测，默认接入国际顶尖大模型并支持企业自带模型，而非默认绑定混元主模型。混元 3D 自 2025 年 11 月面向海外开放，Maxon Cinema 4D 已完成生产级集成。混元主模型仍主要服务中国市场；海外客户通过 TokenHub MaaS、ADP、CodeBuddy 与开源模型生态消费 AI 能力，这一定位与腾讯出海法律团队"选用合规可控的本土模型，规避第三方模型地域限制"的合规建议一致。</w:t>
      </w:r>
    </w:p>
    <w:p>
      <w:pPr>
        <w:rPr>
          <w:rFonts w:ascii="Arial" w:hAnsi="Arial"/>
          <w:sz w:val="20"/>
        </w:rPr>
      </w:pPr>
      <w:r>
        <w:rPr>
          <w:rFonts w:ascii="Arial" w:hAnsi="Arial"/>
          <w:sz w:val="20"/>
          <w:color w:val="333333"/>
        </w:rPr>
        <w:t>第二，海外算力底座已 GA。腾讯云覆盖全球 22 个地区、64 个可用区、3200+ 全球加速节点、400T 带宽储备；计划投资 1.5 亿美元在沙特建设中东首个数据中心，同步建设大阪第三个数据中心，法兰克福第三可用区将在 2026 年第二季度上线。Cloud GPU Service 训练实例族包括 GN10Xp、GN10X、GT4、GN8、GN6 / GN6S，推理实例族包括 GN7、GN10Xp、PNV4、GI3X、GN6 / GN6S；上层星脉高性能计算网络与高性能计算集群 HCC 提供分布式训练算力。</w:t>
      </w:r>
    </w:p>
    <w:p>
      <w:pPr>
        <w:rPr>
          <w:rFonts w:ascii="Arial" w:hAnsi="Arial"/>
          <w:sz w:val="20"/>
        </w:rPr>
      </w:pPr>
      <w:r>
        <w:rPr>
          <w:rFonts w:ascii="Arial" w:hAnsi="Arial"/>
          <w:sz w:val="20"/>
          <w:color w:val="333333"/>
        </w:rPr>
        <w:t>第三，客户验证的本地化 AI 推理性能。PPIO MaaS 平台基于腾讯云全球节点 + GPU 算力 + Serverless GPU 弹性调度，帮助某头部 AI 情感陪伴应用将 TOKEN 成本降低 60% 以上，峰值响应时间稳定在 P99 小于 1.5 秒，数据本地化不出境，满足 GDPR 合规。</w:t>
      </w:r>
    </w:p>
    <w:p>
      <w:pPr>
        <w:rPr>
          <w:rFonts w:ascii="Arial" w:hAnsi="Arial"/>
          <w:sz w:val="20"/>
        </w:rPr>
      </w:pPr>
      <w:r>
        <w:rPr>
          <w:rFonts w:ascii="Arial" w:hAnsi="Arial"/>
          <w:sz w:val="20"/>
          <w:color w:val="333333"/>
        </w:rPr>
        <w:t>第四，主权场景产品。ClawPro 专有云版于 2026 年 4 月发布，面向金融、政务等高安全需求行业，实现"运维 + 办公"双场景联动并将大模型与调度能力部署在客户本地环境。</w:t>
      </w:r>
    </w:p>
    <w:p>
      <w:pPr>
        <w:rPr>
          <w:rFonts w:ascii="Arial" w:hAnsi="Arial"/>
          <w:sz w:val="20"/>
        </w:rPr>
      </w:pPr>
      <w:r>
        <w:rPr>
          <w:rFonts w:ascii="Arial" w:hAnsi="Arial"/>
          <w:sz w:val="20"/>
          <w:color w:val="333333"/>
        </w:rPr>
        <w:t>公开材料未覆盖的口径以诚实模式回答：各国际 Region 的具体 GPU SKU 库存与配额矩阵、混元主模型在海外的 GA 状态与具体承载机房、TI Platform 在海外 Region 的可用性、以及混元主模型对海外受监管客户的 VPC 私有化部署 SKU，在公开材料中尚未发布；这部分本字段不展开推测，由腾讯团队在后续问询中按授权口径补充。</w:t>
      </w:r>
    </w:p>
    <w:p w14:paraId="3F9904CC" w14:textId="77777777" w:rsidR="00BE3988" w:rsidRPr="00BE3988" w:rsidRDefault="00BE3988" w:rsidP="00BE3988">
      <w:pPr>
        <w:numPr>
          <w:ilvl w:val="1"/>
          <w:numId w:val="4"/>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典型客户场景案例（请提供1个）</w:t>
      </w:r>
    </w:p>
    <w:p>
      <w:pPr>
        <w:rPr>
          <w:rFonts w:ascii="Arial" w:hAnsi="Arial"/>
          <w:sz w:val="20"/>
        </w:rPr>
      </w:pPr>
      <w:r>
        <w:rPr>
          <w:rFonts w:ascii="Arial" w:hAnsi="Arial"/>
          <w:sz w:val="20"/>
          <w:color w:val="333333"/>
        </w:rPr>
        <w:t>主案例：CNN BRASIL（媒体行业，巴西）。</w:t>
      </w:r>
    </w:p>
    <w:p>
      <w:pPr>
        <w:rPr>
          <w:rFonts w:ascii="Arial" w:hAnsi="Arial"/>
          <w:sz w:val="20"/>
        </w:rPr>
      </w:pPr>
      <w:r>
        <w:rPr>
          <w:rFonts w:ascii="Arial" w:hAnsi="Arial"/>
          <w:sz w:val="20"/>
          <w:color w:val="333333"/>
        </w:rPr>
        <w:t>行业与客户。巴西商业电视频道 CNN BRASIL，总部圣保罗，2020 年 3 月 15 日开播，持有美国 CNN 网络的品牌授权。</w:t>
      </w:r>
    </w:p>
    <w:p>
      <w:pPr>
        <w:rPr>
          <w:rFonts w:ascii="Arial" w:hAnsi="Arial"/>
          <w:sz w:val="20"/>
        </w:rPr>
      </w:pPr>
      <w:r>
        <w:rPr>
          <w:rFonts w:ascii="Arial" w:hAnsi="Arial"/>
          <w:sz w:val="20"/>
          <w:color w:val="333333"/>
        </w:rPr>
        <w:t>挑战。传统系统集成、巴西 LGPD 合规下的数据安全、编辑团队 AI 工具链上手、多平台分发与移动端体验。</w:t>
      </w:r>
    </w:p>
    <w:p>
      <w:pPr>
        <w:rPr>
          <w:rFonts w:ascii="Arial" w:hAnsi="Arial"/>
          <w:sz w:val="20"/>
        </w:rPr>
      </w:pPr>
      <w:r>
        <w:rPr>
          <w:rFonts w:ascii="Arial" w:hAnsi="Arial"/>
          <w:sz w:val="20"/>
          <w:color w:val="333333"/>
        </w:rPr>
        <w:t>解决方案。多平台直播与点播分发承载在腾讯云全球 CDN 上；引入腾讯云 AI 解决方案用于 AI 辅助剪辑与新闻内容生产；在混合环境与企业级安全能力下满足 LGPD 要求。</w:t>
      </w:r>
    </w:p>
    <w:p>
      <w:pPr>
        <w:rPr>
          <w:rFonts w:ascii="Arial" w:hAnsi="Arial"/>
          <w:sz w:val="20"/>
        </w:rPr>
      </w:pPr>
      <w:r>
        <w:rPr>
          <w:rFonts w:ascii="Arial" w:hAnsi="Arial"/>
          <w:sz w:val="20"/>
          <w:color w:val="333333"/>
        </w:rPr>
        <w:t>结果。覆盖巴西全国的多平台高清流媒体分发与移动端优化体验；AI 工具显著提升编辑准确度与内容交付速度，帮助记者更高效产出更高质量稿件（公开案例页定性表述，未披露具体指标）。</w:t>
      </w:r>
    </w:p>
    <w:p>
      <w:pPr>
        <w:rPr>
          <w:rFonts w:ascii="Arial" w:hAnsi="Arial"/>
          <w:sz w:val="20"/>
        </w:rPr>
      </w:pPr>
      <w:r>
        <w:rPr>
          <w:rFonts w:ascii="Arial" w:hAnsi="Arial"/>
          <w:sz w:val="20"/>
          <w:color w:val="333333"/>
        </w:rPr>
        <w:t>可选备份案例（按定位排序）。</w:t>
      </w:r>
    </w:p>
    <w:p>
      <w:pPr>
        <w:rPr>
          <w:rFonts w:ascii="Arial" w:hAnsi="Arial"/>
          <w:sz w:val="20"/>
        </w:rPr>
      </w:pPr>
      <w:r>
        <w:rPr>
          <w:rFonts w:ascii="Arial" w:hAnsi="Arial"/>
          <w:sz w:val="20"/>
          <w:color w:val="333333"/>
        </w:rPr>
        <w:t>A. Maxon Cinema 4D — 海外软件厂商集成混元 3D。德国软件公司 Maxon 在 Cinema 4D 桌面应用建模环节集成混元 3D API，是公开材料中"海外厂商在产品中嵌入混元家族能力"的最干净引用（2026 年 3 月对外披露）。属于"海外受众 + 混元 3D"路径。</w:t>
      </w:r>
    </w:p>
    <w:p>
      <w:pPr>
        <w:rPr>
          <w:rFonts w:ascii="Arial" w:hAnsi="Arial"/>
          <w:sz w:val="20"/>
        </w:rPr>
      </w:pPr>
      <w:r>
        <w:rPr>
          <w:rFonts w:ascii="Arial" w:hAnsi="Arial"/>
          <w:sz w:val="20"/>
          <w:color w:val="333333"/>
        </w:rPr>
        <w:t>B. 巨人网络《太空杀》— 中国厂商出海游戏 + 混元 Turbo S。游戏接入腾讯混元 Turbo S 大模型，2 亿注册玩家与 700 万 AI 角色同台竞技，上线一个月累计参与近 90 万场对局，同时接入腾讯云 TTS 文字转语音；属于"中国厂商 AI 原生玩法在海外分发"路径。</w:t>
      </w:r>
    </w:p>
    <w:p>
      <w:pPr>
        <w:rPr>
          <w:rFonts w:ascii="Arial" w:hAnsi="Arial"/>
          <w:sz w:val="20"/>
        </w:rPr>
      </w:pPr>
      <w:r>
        <w:rPr>
          <w:rFonts w:ascii="Arial" w:hAnsi="Arial"/>
          <w:sz w:val="20"/>
          <w:color w:val="333333"/>
        </w:rPr>
        <w:t>C. 稳卖 AI 浏览器 — 跨境电商 SaaS。基于腾讯云混元大模型 + ADP 智能体开发平台，面向跨境卖家提供商品智能分析、多模态内容生成、AI 智能运营 Agent；单 SKU 图片与视频素材生产耗时由 3 至 5 天压缩至几十分钟，单环节效率提升超 200 倍。</w:t>
      </w:r>
    </w:p>
    <w:p>
      <w:pPr>
        <w:rPr>
          <w:rFonts w:ascii="Arial" w:hAnsi="Arial"/>
          <w:sz w:val="20"/>
        </w:rPr>
      </w:pPr>
      <w:r>
        <w:rPr>
          <w:rFonts w:ascii="Arial" w:hAnsi="Arial"/>
          <w:sz w:val="20"/>
          <w:color w:val="333333"/>
        </w:rPr>
        <w:t>D. GoTo 集团（印尼）— 基础设施 + 数据主权。1000+ 微服务在 4 小时 54 分钟内完成迁移，雅加达 Region 由 2 AZ 扩到 3 AZ，支撑印尼数据主权承诺；属于"基础设施 + AI 生态"框架，不是纯 AI 案例。</w:t>
      </w:r>
    </w:p>
    <w:p>
      <w:pPr>
        <w:rPr>
          <w:rFonts w:ascii="Arial" w:hAnsi="Arial"/>
          <w:sz w:val="20"/>
        </w:rPr>
      </w:pPr>
      <w:r>
        <w:rPr>
          <w:rFonts w:ascii="Arial" w:hAnsi="Arial"/>
          <w:sz w:val="20"/>
          <w:color w:val="333333"/>
        </w:rPr>
        <w:t>E. 美的集团 — 欧洲 IT 业务整合。50 个独立业务系统迁移至腾讯云法兰克福数据中心并完成容器化改造；偏基础设施。</w:t>
      </w:r>
    </w:p>
    <w:p>
      <w:pPr>
        <w:rPr>
          <w:rFonts w:ascii="Arial" w:hAnsi="Arial"/>
          <w:sz w:val="20"/>
        </w:rPr>
      </w:pPr>
      <w:r>
        <w:rPr>
          <w:rFonts w:ascii="Arial" w:hAnsi="Arial"/>
          <w:sz w:val="20"/>
          <w:color w:val="333333"/>
        </w:rPr>
        <w:t>F. iyzico（土耳其）— 欧洲首个云业务平台，稳定承载 18.5 万家商户交易处理；偏金融基础设施。</w:t>
      </w:r>
    </w:p>
    <w:p w14:paraId="4BD7E2A5" w14:textId="49DFD8C5" w:rsidR="00BE3988" w:rsidRPr="00BE3988" w:rsidRDefault="00BE3988" w:rsidP="00BE3988">
      <w:pPr>
        <w:numPr>
          <w:ilvl w:val="0"/>
          <w:numId w:val="4"/>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跨区域一致性：</w:t>
      </w:r>
      <w:r w:rsidRPr="00BE3988">
        <w:rPr>
          <w:rFonts w:ascii="Microsoft YaHei" w:eastAsia="Microsoft YaHei" w:hAnsi="Microsoft YaHei"/>
          <w:sz w:val="20"/>
          <w:szCs w:val="20"/>
        </w:rPr>
        <w:br/>
        <w:t>如何确保AI服务在全球不同区域的性能一致性？（例如：</w:t>
      </w:r>
      <w:r w:rsidR="00EF11D8" w:rsidRPr="00EF11D8">
        <w:rPr>
          <w:rFonts w:ascii="Microsoft YaHei" w:eastAsia="Microsoft YaHei" w:hAnsi="Microsoft YaHei" w:hint="eastAsia"/>
          <w:sz w:val="20"/>
          <w:szCs w:val="20"/>
        </w:rPr>
        <w:t>控制台、模型</w:t>
      </w:r>
      <w:r w:rsidRPr="00BE3988">
        <w:rPr>
          <w:rFonts w:ascii="Microsoft YaHei" w:eastAsia="Microsoft YaHei" w:hAnsi="Microsoft YaHei"/>
          <w:sz w:val="20"/>
          <w:szCs w:val="20"/>
        </w:rPr>
        <w:t>延迟、模型精度</w:t>
      </w:r>
      <w:r w:rsidR="00FF4E0F">
        <w:rPr>
          <w:rFonts w:ascii="Microsoft YaHei" w:eastAsia="Microsoft YaHei" w:hAnsi="Microsoft YaHei" w:hint="eastAsia"/>
          <w:sz w:val="20"/>
          <w:szCs w:val="20"/>
        </w:rPr>
        <w:t>或其他</w:t>
      </w:r>
      <w:r w:rsidRPr="00BE3988">
        <w:rPr>
          <w:rFonts w:ascii="Microsoft YaHei" w:eastAsia="Microsoft YaHei" w:hAnsi="Microsoft YaHei"/>
          <w:sz w:val="20"/>
          <w:szCs w:val="20"/>
        </w:rPr>
        <w:t>）</w:t>
      </w:r>
    </w:p>
    <w:p>
      <w:pPr>
        <w:rPr>
          <w:rFonts w:ascii="Arial" w:hAnsi="Arial"/>
          <w:sz w:val="20"/>
        </w:rPr>
      </w:pPr>
      <w:r>
        <w:rPr>
          <w:rFonts w:ascii="Arial" w:hAnsi="Arial"/>
          <w:sz w:val="20"/>
          <w:color w:val="333333"/>
        </w:rPr>
        <w:t>腾讯云在三层结构上保障跨区域 AI 表现的一致性，同时坦诚说明哪些 per-region 指标公开材料未披露。</w:t>
      </w:r>
    </w:p>
    <w:p>
      <w:pPr>
        <w:rPr>
          <w:rFonts w:ascii="Arial" w:hAnsi="Arial"/>
          <w:sz w:val="20"/>
        </w:rPr>
      </w:pPr>
      <w:r>
        <w:rPr>
          <w:rFonts w:ascii="Arial" w:hAnsi="Arial"/>
          <w:sz w:val="20"/>
          <w:color w:val="333333"/>
        </w:rPr>
        <w:t>第一层是推理引擎。腾讯混元与 NVIDIA 联合构建了高性能推理引擎 AngelHCF，基于 NVIDIA TensorRT-LLM，在 NVIDIA GTC 2025 公开披露。在此基础之上，腾讯云 TACO 团队的省 Token 关键技术 FlexKV，已正式合入 NVIDIA Dynamo、vLLM、TensorRT-LLM 三大主流推理框架的官方主线，作为其官方支持的 KV Cache 卸载方案；端到端形成 GPU 资源调度（Dynamo）+ 推理执行（vLLM / TRT-LLM）+ 缓存复用（FlexKV）的协同闭环，从源头压缩首 Token 延迟、提升整体吞吐。这意味着任何使用上述主流框架的部署，在工程层面享受的是同一套已被上游接收的优化路径。配套上层，TI Platform 作为一站式机器学习平台为模型从数据到训练、评估、服务提供统一抽象，弹性 GPU / CPU 按需计费。</w:t>
      </w:r>
    </w:p>
    <w:p>
      <w:pPr>
        <w:rPr>
          <w:rFonts w:ascii="Arial" w:hAnsi="Arial"/>
          <w:sz w:val="20"/>
        </w:rPr>
      </w:pPr>
      <w:r>
        <w:rPr>
          <w:rFonts w:ascii="Arial" w:hAnsi="Arial"/>
          <w:sz w:val="20"/>
          <w:color w:val="333333"/>
        </w:rPr>
        <w:t>第二层是消费侧 API。腾讯云已将 MaaS 升级为 TokenHub，统一接入混元、DeepSeek、MiniMax、Kimi、GLM 等多家模型，配合 Token Plan 统一计费，企业可按需调度、灵活切换；这是出海企业实际跨区域消费 AI 能力的统一入口，模型与计费口径不随部署地点变化。在 API 契约层面，腾讯云 API 框架既支持就近域名自动解析到最近区域服务器，也允许对延迟敏感的业务显式 pin 到指定区域；同一 Action、同一 Version、Region 参数非必填，调用契约跨区域不变。在产品形态上，Tencent Cloud Agent Development Platform（TCADP）、CodeBuddy、Cloud Mall 等已发布国际版本，在保留统一能力前提下适配本地需求。</w:t>
      </w:r>
    </w:p>
    <w:p>
      <w:pPr>
        <w:rPr>
          <w:rFonts w:ascii="Arial" w:hAnsi="Arial"/>
          <w:sz w:val="20"/>
        </w:rPr>
      </w:pPr>
      <w:r>
        <w:rPr>
          <w:rFonts w:ascii="Arial" w:hAnsi="Arial"/>
          <w:sz w:val="20"/>
          <w:color w:val="333333"/>
        </w:rPr>
        <w:t>第三层是边缘交付底座。EdgeOne 作为统一边缘层为后端 AI 服务做前置，运行 3,200+ 全球加速节点、400+ Tbps 全网带宽、25 Tbps 全局 DDoS 防护带宽、20+ 可定制 Web 安全特性与智能机器人管理；边缘节点在中国大陆以外多个地区部署以承接跨区域业务，静动态内容统一智能加速以降低延迟。整体基础设施侧，腾讯云覆盖 22 个地区、64 个运营可用区、3,200+ 全球加速节点、400T 带宽储备，设立 9 大技术支持中心与 100+ 全球技术支持触点。</w:t>
      </w:r>
    </w:p>
    <w:p w14:paraId="15ECBB20" w14:textId="686C4041" w:rsidR="00BE3988" w:rsidRPr="00BE3988" w:rsidRDefault="00BE3988" w:rsidP="00BE3988">
      <w:pPr>
        <w:numPr>
          <w:ilvl w:val="0"/>
          <w:numId w:val="4"/>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差异化优势：</w:t>
      </w:r>
      <w:r w:rsidRPr="00BE3988">
        <w:rPr>
          <w:rFonts w:ascii="Microsoft YaHei" w:eastAsia="Microsoft YaHei" w:hAnsi="Microsoft YaHei"/>
          <w:sz w:val="20"/>
          <w:szCs w:val="20"/>
        </w:rPr>
        <w:br/>
        <w:t>与竞争对手相比，贵司在全栈AI能力方面的核心优势是什么？（请用1-2句话概括）</w:t>
      </w:r>
    </w:p>
    <w:p>
      <w:pPr>
        <w:rPr>
          <w:rFonts w:ascii="Arial" w:hAnsi="Arial"/>
          <w:sz w:val="20"/>
        </w:rPr>
      </w:pPr>
      <w:r>
        <w:rPr>
          <w:rFonts w:ascii="Arial" w:hAnsi="Arial"/>
          <w:sz w:val="20"/>
          <w:color w:val="333333"/>
        </w:rPr>
        <w:t>腾讯云全栈 AI 能力的核心差异化在于"全球基础设施 — AI 原生产品矩阵 — 超级应用"端到端闭环:底层依托覆盖 25 个地理区域、64 个可用区的全球基础设施与支持多元 AI 硬件的 IaaS/PaaS 全栈产品矩阵,叠加 AI 原生架构持续提升平台内部性能;上层独有微信等月活十亿级超级应用作为 AI 能力天然的分发与产业化通道。区别于仅覆盖"算力+模型"两层的同业,客户的 AI 模型在腾讯云既能稳定训练部署,也能直接触达 C 端产业化场景,形成同业难以复制的壁垒。</w:t>
      </w:r>
    </w:p>
    <w:p w14:paraId="75D0E29B" w14:textId="5BB4BC66" w:rsidR="00FF4E0F" w:rsidRDefault="00BE3988" w:rsidP="00BE3988">
      <w:pPr>
        <w:rPr>
          <w:rFonts w:ascii="Microsoft YaHei" w:eastAsia="Microsoft YaHei" w:hAnsi="Microsoft YaHei"/>
          <w:b/>
          <w:bCs/>
          <w:sz w:val="20"/>
          <w:szCs w:val="20"/>
        </w:rPr>
        <w:shd w:val="clear" w:color="auto" w:fill="FFF2CC"/>
      </w:pPr>
      <w:r w:rsidRPr="00EF11D8">
        <w:rPr>
          <w:rFonts w:ascii="Microsoft YaHei" w:eastAsia="Microsoft YaHei" w:hAnsi="Microsoft YaHei" w:cs="Segoe UI Emoji" w:hint="eastAsia"/>
          <w:b/>
          <w:bCs/>
          <w:sz w:val="20"/>
          <w:szCs w:val="20"/>
        </w:rPr>
        <w:t xml:space="preserve">Section 3 </w:t>
      </w:r>
      <w:proofErr w:type="gramStart"/>
      <w:r w:rsidRPr="00BE3988">
        <w:rPr>
          <w:rFonts w:ascii="Microsoft YaHei" w:eastAsia="Microsoft YaHei" w:hAnsi="Microsoft YaHei"/>
          <w:b/>
          <w:bCs/>
          <w:sz w:val="20"/>
          <w:szCs w:val="20"/>
        </w:rPr>
        <w:t>全球生态</w:t>
      </w:r>
      <w:r w:rsidR="00FF4E0F">
        <w:rPr>
          <w:rFonts w:ascii="Microsoft YaHei" w:eastAsia="Microsoft YaHei" w:hAnsi="Microsoft YaHei" w:hint="eastAsia"/>
          <w:b/>
          <w:bCs/>
          <w:sz w:val="20"/>
          <w:szCs w:val="20"/>
        </w:rPr>
        <w:t>(</w:t>
      </w:r>
      <w:proofErr w:type="gramEnd"/>
      <w:r w:rsidR="00FF4E0F">
        <w:rPr>
          <w:rFonts w:ascii="Microsoft YaHei" w:eastAsia="Microsoft YaHei" w:hAnsi="Microsoft YaHei" w:hint="eastAsia"/>
          <w:b/>
          <w:bCs/>
          <w:sz w:val="20"/>
          <w:szCs w:val="20"/>
        </w:rPr>
        <w:t>Global Ecosystem)</w:t>
      </w:r>
    </w:p>
    <w:p w14:paraId="0C6EB6EC" w14:textId="77777777" w:rsidR="00FF4E0F" w:rsidRPr="00BE3988" w:rsidRDefault="00FF4E0F" w:rsidP="00FF4E0F">
      <w:pPr>
        <w:numPr>
          <w:ilvl w:val="0"/>
          <w:numId w:val="5"/>
        </w:numPr>
        <w:rPr>
          <w:rFonts w:ascii="Microsoft YaHei" w:eastAsia="Microsoft YaHei" w:hAnsi="Microsoft YaHei"/>
          <w:sz w:val="20"/>
          <w:szCs w:val="20"/>
        </w:rPr>
      </w:pPr>
      <w:r w:rsidRPr="00BE3988">
        <w:rPr>
          <w:rFonts w:ascii="Microsoft YaHei" w:eastAsia="Microsoft YaHei" w:hAnsi="Microsoft YaHei"/>
          <w:sz w:val="20"/>
          <w:szCs w:val="20"/>
        </w:rPr>
        <w:t>生态网络：</w:t>
      </w:r>
      <w:r w:rsidRPr="00BE3988">
        <w:rPr>
          <w:rFonts w:ascii="Microsoft YaHei" w:eastAsia="Microsoft YaHei" w:hAnsi="Microsoft YaHei"/>
          <w:sz w:val="20"/>
          <w:szCs w:val="20"/>
        </w:rPr>
        <w:br/>
        <w:t>请描述贵司在目标市场的第三方服务网络建设：</w:t>
      </w:r>
    </w:p>
    <w:p w14:paraId="0E6C2865" w14:textId="77777777" w:rsidR="00FF4E0F" w:rsidRPr="00BE3988" w:rsidRDefault="00FF4E0F" w:rsidP="00FF4E0F">
      <w:pPr>
        <w:numPr>
          <w:ilvl w:val="1"/>
          <w:numId w:val="5"/>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合作伙伴数量（咨询/ISV/SaaS）</w:t>
      </w:r>
    </w:p>
    <w:p>
      <w:pPr>
        <w:rPr>
          <w:rFonts w:ascii="Arial" w:hAnsi="Arial"/>
          <w:sz w:val="20"/>
        </w:rPr>
      </w:pPr>
      <w:r>
        <w:rPr>
          <w:rFonts w:ascii="Arial" w:hAnsi="Arial"/>
          <w:sz w:val="20"/>
          <w:color w:val="333333"/>
        </w:rPr>
        <w:t>腾讯云全球合作伙伴生态规模超过 11,000 家。该数字最早由腾讯集团高级执行副总裁、云与智慧产业事业群 CEO 汤道生在 2024 年沙特 LEAP 大会上披露（"Tencent Cloud's Global Partner Ecosystem is 11,000 partners strong"），并在 2025 年 3 月印尼合作发布会上以"over 11,000 partners"口径再次确认。截至 2025 年 9 月深圳全球数字生态大会（GDES）国际出海峰会，腾讯云国际新增签约的合作伙伴覆盖四个区域：亚太（Datacom、IOH、Gardi Management、GoTo Group、MahakaX、MUFG Bank China、RYDE Technologies、StoneLink、True IDC、99 Group）、中东（Coop Bank Oromia、Nativex）、欧洲（eMAG）、北美（InCloud）。</w:t>
      </w:r>
    </w:p>
    <w:p>
      <w:pPr>
        <w:rPr>
          <w:rFonts w:ascii="Arial" w:hAnsi="Arial"/>
          <w:sz w:val="20"/>
        </w:rPr>
      </w:pPr>
      <w:r>
        <w:rPr>
          <w:rFonts w:ascii="Arial" w:hAnsi="Arial"/>
          <w:sz w:val="20"/>
          <w:color w:val="333333"/>
        </w:rPr>
        <w:t>2026 年 4 月腾讯云正式发布"出海生态启航计划"，通过出海权益 / 伙伴库 / 知识服务三大体系，进一步将合作伙伴生态向中国企业出海场景定向延伸。</w:t>
      </w:r>
    </w:p>
    <w:p w14:paraId="6656680E" w14:textId="79E2CBFE" w:rsidR="00FF4E0F" w:rsidRPr="00BE3988" w:rsidRDefault="00FF4E0F" w:rsidP="00FF4E0F">
      <w:pPr>
        <w:numPr>
          <w:ilvl w:val="1"/>
          <w:numId w:val="5"/>
        </w:numPr>
        <w:rPr>
          <w:rFonts w:ascii="Microsoft YaHei" w:eastAsia="Microsoft YaHei" w:hAnsi="Microsoft YaHei"/>
          <w:sz w:val="20"/>
          <w:szCs w:val="20"/>
        </w:rPr>
        <w:shd w:val="clear" w:color="auto" w:fill="FFF2CC"/>
      </w:pPr>
      <w:r>
        <w:rPr>
          <w:rFonts w:ascii="Microsoft YaHei" w:eastAsia="Microsoft YaHei" w:hAnsi="Microsoft YaHei" w:hint="eastAsia"/>
          <w:sz w:val="20"/>
          <w:szCs w:val="20"/>
        </w:rPr>
        <w:t>自有的</w:t>
      </w:r>
      <w:r w:rsidRPr="00BE3988">
        <w:rPr>
          <w:rFonts w:ascii="Microsoft YaHei" w:eastAsia="Microsoft YaHei" w:hAnsi="Microsoft YaHei"/>
          <w:sz w:val="20"/>
          <w:szCs w:val="20"/>
        </w:rPr>
        <w:t>本地化运营团队规模</w:t>
      </w:r>
    </w:p>
    <w:p>
      <w:pPr>
        <w:rPr>
          <w:rFonts w:ascii="Arial" w:hAnsi="Arial"/>
          <w:sz w:val="20"/>
        </w:rPr>
      </w:pPr>
      <w:r>
        <w:rPr>
          <w:rFonts w:ascii="Arial" w:hAnsi="Arial"/>
          <w:sz w:val="20"/>
          <w:color w:val="333333"/>
        </w:rPr>
        <w:t>公开口径下可证的本地化运营足迹（2025 年 12 月 + 2026 年 3 月最新更新）：</w:t>
      </w:r>
    </w:p>
    <w:p>
      <w:pPr>
        <w:rPr>
          <w:rFonts w:ascii="Arial" w:hAnsi="Arial"/>
          <w:sz w:val="20"/>
        </w:rPr>
      </w:pPr>
      <w:r>
        <w:rPr>
          <w:rFonts w:ascii="Arial" w:hAnsi="Arial"/>
          <w:sz w:val="20"/>
          <w:color w:val="333333"/>
        </w:rPr>
        <w:t>第一，区域办公室 + 技术支持中心 + 触点。腾讯云已在全球设立 11 个区域办公室，部署 9 大技术支持中心（位于 Jakarta、Manila、Kuala Lumpur、Singapore、Bangkok、Tokyo、Seoul、Palo Alto、Frankfurt），并形成 100+ 全球技术支持触点；服务覆盖 30 多个行业与 80 多个国家与地区。</w:t>
      </w:r>
    </w:p>
    <w:p>
      <w:pPr>
        <w:rPr>
          <w:rFonts w:ascii="Arial" w:hAnsi="Arial"/>
          <w:sz w:val="20"/>
        </w:rPr>
      </w:pPr>
      <w:r>
        <w:rPr>
          <w:rFonts w:ascii="Arial" w:hAnsi="Arial"/>
          <w:sz w:val="20"/>
          <w:color w:val="333333"/>
        </w:rPr>
        <w:t>第二，基础设施层。腾讯云在 22 个地区运营 64 个可用区，部署 3,200+ 全球加速节点与 400 Tbps 带宽储备，投资 1.5 亿美元在沙特建设中东首个数据中心，同步建设大阪第三个数据中心并新设大阪办公室，法兰克福第三可用区将在 2026 年第二季度上线。</w:t>
      </w:r>
    </w:p>
    <w:p>
      <w:pPr>
        <w:rPr>
          <w:rFonts w:ascii="Arial" w:hAnsi="Arial"/>
          <w:sz w:val="20"/>
        </w:rPr>
      </w:pPr>
      <w:r>
        <w:rPr>
          <w:rFonts w:ascii="Arial" w:hAnsi="Arial"/>
          <w:sz w:val="20"/>
          <w:color w:val="333333"/>
        </w:rPr>
        <w:t>第三，区域领导力。已委任的区域 / 出海生态领导包括：腾讯云国际高级副总裁杨宝树、东南亚区域总监兼新马印总经理 Kenneth Siow、东南亚与南亚业务发展总监 Faye Gong、腾讯云出海生态总经理张林。</w:t>
      </w:r>
    </w:p>
    <w:p>
      <w:pPr>
        <w:rPr>
          <w:rFonts w:ascii="Arial" w:hAnsi="Arial"/>
          <w:sz w:val="20"/>
        </w:rPr>
      </w:pPr>
      <w:r>
        <w:rPr>
          <w:rFonts w:ascii="Arial" w:hAnsi="Arial"/>
          <w:sz w:val="20"/>
          <w:color w:val="333333"/>
        </w:rPr>
        <w:t>具体本地化运营团队的 FTE 头数、各区域人员分布、与多语言服务覆盖名册，公开材料尚未披露；本字段不展开推测，由腾讯团队在后续问询中按授权口径补充。</w:t>
      </w:r>
    </w:p>
    <w:p w14:paraId="1BE2D839" w14:textId="77777777" w:rsidR="00FF4E0F" w:rsidRPr="00BE3988" w:rsidRDefault="00FF4E0F" w:rsidP="00FF4E0F">
      <w:pPr>
        <w:numPr>
          <w:ilvl w:val="1"/>
          <w:numId w:val="5"/>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典型合作模式（如：联合解决方案、联合营销）</w:t>
      </w:r>
    </w:p>
    <w:p>
      <w:pPr>
        <w:rPr>
          <w:rFonts w:ascii="Arial" w:hAnsi="Arial"/>
          <w:sz w:val="20"/>
        </w:rPr>
      </w:pPr>
      <w:r>
        <w:rPr>
          <w:rFonts w:ascii="Arial" w:hAnsi="Arial"/>
          <w:sz w:val="20"/>
          <w:color w:val="333333"/>
        </w:rPr>
        <w:t>腾讯云合作伙伴网络（Tencent Cloud Partner Network）将合作伙伴形式化为三大类 + 四级 program tier。</w:t>
      </w:r>
    </w:p>
    <w:p>
      <w:pPr>
        <w:rPr>
          <w:rFonts w:ascii="Arial" w:hAnsi="Arial"/>
          <w:sz w:val="20"/>
        </w:rPr>
      </w:pPr>
      <w:r>
        <w:rPr>
          <w:rFonts w:ascii="Arial" w:hAnsi="Arial"/>
          <w:sz w:val="20"/>
          <w:color w:val="333333"/>
        </w:rPr>
        <w:t>三大类：</w:t>
      </w:r>
    </w:p>
    <w:p>
      <w:pPr>
        <w:rPr>
          <w:rFonts w:ascii="Arial" w:hAnsi="Arial"/>
          <w:sz w:val="20"/>
        </w:rPr>
      </w:pPr>
      <w:r>
        <w:rPr>
          <w:rFonts w:ascii="Arial" w:hAnsi="Arial"/>
          <w:sz w:val="20"/>
          <w:color w:val="333333"/>
        </w:rPr>
        <w:t>1. Channel Partners（渠道合作伙伴）— 包括 resellers、agents、distributors，负责销售腾讯云产品与服务。</w:t>
      </w:r>
    </w:p>
    <w:p>
      <w:pPr>
        <w:rPr>
          <w:rFonts w:ascii="Arial" w:hAnsi="Arial"/>
          <w:sz w:val="20"/>
        </w:rPr>
      </w:pPr>
      <w:r>
        <w:rPr>
          <w:rFonts w:ascii="Arial" w:hAnsi="Arial"/>
          <w:sz w:val="20"/>
          <w:color w:val="333333"/>
        </w:rPr>
        <w:t>2. Service Partners（服务合作伙伴）— 包括 Managed Service Providers（MSP）、System Integrators、咨询合作伙伴，增强交付与服务能力。</w:t>
      </w:r>
    </w:p>
    <w:p>
      <w:pPr>
        <w:rPr>
          <w:rFonts w:ascii="Arial" w:hAnsi="Arial"/>
          <w:sz w:val="20"/>
        </w:rPr>
      </w:pPr>
      <w:r>
        <w:rPr>
          <w:rFonts w:ascii="Arial" w:hAnsi="Arial"/>
          <w:sz w:val="20"/>
          <w:color w:val="333333"/>
        </w:rPr>
        <w:t>3. Technology Partners（技术合作伙伴）— 包括 Independent Software Vendors（ISV）、PaaS / SaaS marketplace 提供方、开发者工具与安全厂商，丰富产品组合。</w:t>
      </w:r>
    </w:p>
    <w:p>
      <w:pPr>
        <w:rPr>
          <w:rFonts w:ascii="Arial" w:hAnsi="Arial"/>
          <w:sz w:val="20"/>
        </w:rPr>
      </w:pPr>
      <w:r>
        <w:rPr>
          <w:rFonts w:ascii="Arial" w:hAnsi="Arial"/>
          <w:sz w:val="20"/>
          <w:color w:val="333333"/>
        </w:rPr>
        <w:t>四级 program tier — Standard / Silver / Gold / Platinum — 对应可量化的年度收入门槛（Silver USD 15,000 / Gold USD 150,000 / Platinum USD 1,500,000）与认证人数要求（Silver 2 名 / Gold 2 名 / Platinum 4 名 Tencent Cloud Practitioner）。Tencent Cloud 同时承认 AWS 现有 tier（Registered / Selected / Advanced / Premium）与 Microsoft Azure 相应 tier 的现有伙伴可直接对应认证为腾讯云对应 tier，降低多云合作伙伴的换平台摩擦。</w:t>
      </w:r>
    </w:p>
    <w:p>
      <w:pPr>
        <w:rPr>
          <w:rFonts w:ascii="Arial" w:hAnsi="Arial"/>
          <w:sz w:val="20"/>
        </w:rPr>
      </w:pPr>
      <w:r>
        <w:rPr>
          <w:rFonts w:ascii="Arial" w:hAnsi="Arial"/>
          <w:sz w:val="20"/>
          <w:color w:val="333333"/>
        </w:rPr>
        <w:t>针对中国企业出海场景，腾讯云出海生态在 Partner Network 之上叠加了一层定向架构，由腾讯云出海生态总经理张林在 2026 年 3 月正式对外阐述：形成"平台 + ISV + 渠道 + 本地合规伙伴"四角色生态化出海模式，配套六大核心资源——市场传播 / 流量扶持 / 业务轻咨询 / 生态活动 / 产品共创 / 腾讯集团协同。在此之上，2026 年 4 月 28 日重庆峰会发布的"出海生态启航计划"以出海权益 / 伙伴库 / 知识服务三大体系作为最新的实施载体。</w:t>
      </w:r>
    </w:p>
    <w:p>
      <w:pPr>
        <w:rPr>
          <w:rFonts w:ascii="Arial" w:hAnsi="Arial"/>
          <w:sz w:val="20"/>
        </w:rPr>
      </w:pPr>
      <w:r>
        <w:rPr>
          <w:rFonts w:ascii="Arial" w:hAnsi="Arial"/>
          <w:sz w:val="20"/>
          <w:color w:val="333333"/>
        </w:rPr>
        <w:t>更高深度的 strategic collaboration 与 JV 模式以三个公开案例为代表：</w:t>
      </w:r>
    </w:p>
    <w:p>
      <w:pPr>
        <w:rPr>
          <w:rFonts w:ascii="Arial" w:hAnsi="Arial"/>
          <w:sz w:val="20"/>
        </w:rPr>
      </w:pPr>
      <w:r>
        <w:rPr>
          <w:rFonts w:ascii="Arial" w:hAnsi="Arial"/>
          <w:sz w:val="20"/>
          <w:color w:val="333333"/>
        </w:rPr>
        <w:t>- Mobily（沙特电信运营商，2024 年 LEAP 大会）— 与腾讯云联合发布"Go Saudi"项目，基于 Tencent Cloud Enterprise (TCE) 私有云平台共建运营商级企业云。</w:t>
      </w:r>
    </w:p>
    <w:p>
      <w:pPr>
        <w:rPr>
          <w:rFonts w:ascii="Arial" w:hAnsi="Arial"/>
          <w:sz w:val="20"/>
        </w:rPr>
      </w:pPr>
      <w:r>
        <w:rPr>
          <w:rFonts w:ascii="Arial" w:hAnsi="Arial"/>
          <w:sz w:val="20"/>
          <w:color w:val="333333"/>
        </w:rPr>
        <w:t>- Acclivis Technologies and Solutions（中信国际电讯全资子公司，新加坡）— 签署 strategic collaboration agreement，覆盖东南亚 + 中国大陆 + 香港的私有 / 公有 / 混合云与 ICT 解决方案。</w:t>
      </w:r>
    </w:p>
    <w:p>
      <w:pPr>
        <w:rPr>
          <w:rFonts w:ascii="Arial" w:hAnsi="Arial"/>
          <w:sz w:val="20"/>
        </w:rPr>
      </w:pPr>
      <w:r>
        <w:rPr>
          <w:rFonts w:ascii="Arial" w:hAnsi="Arial"/>
          <w:sz w:val="20"/>
          <w:color w:val="333333"/>
        </w:rPr>
        <w:t>- 稳卖 AI 浏览器（萨摩耶旗下深圳市稳卖科技，2026 年 1 月）— 签署战略合作协议，整合腾讯云在云计算与 AI 大模型领域的技术底座，与稳卖 AI 浏览器在跨境生态的业务积淀，共同开发"AI + 跨境"解决方案。</w:t>
      </w:r>
    </w:p>
    <w:p>
      <w:pPr>
        <w:rPr>
          <w:rFonts w:ascii="Arial" w:hAnsi="Arial"/>
          <w:sz w:val="20"/>
        </w:rPr>
      </w:pPr>
      <w:r>
        <w:rPr>
          <w:rFonts w:ascii="Arial" w:hAnsi="Arial"/>
          <w:sz w:val="20"/>
          <w:color w:val="333333"/>
        </w:rPr>
        <w:t>中等深度的 MoU 协作以 Mega Berjaya Teknologi（印尼，2025 年 3 月签署 MoU）为代表。Tencent Cloud Marketplace 与 Marketing Amplifier Program（Marketing Development Fund，MDF）为合作伙伴提供 go-to-market 资金支持与品牌服务。</w:t>
      </w:r>
    </w:p>
    <w:p>
      <w:pPr>
        <w:rPr>
          <w:rFonts w:ascii="Arial" w:hAnsi="Arial"/>
          <w:sz w:val="20"/>
        </w:rPr>
      </w:pPr>
      <w:r>
        <w:rPr>
          <w:rFonts w:ascii="Arial" w:hAnsi="Arial"/>
          <w:sz w:val="20"/>
          <w:color w:val="333333"/>
        </w:rPr>
        <w:t>合作伙伴贡献的具体收入占比，各 tier 与各类型的细化分布，公开材料未披露；本字段不展开推测，由腾讯团队在后续问询中按授权口径补充。</w:t>
      </w:r>
    </w:p>
    <w:p w14:paraId="30CD943B" w14:textId="43623E45" w:rsidR="00370BA4" w:rsidRPr="00370BA4" w:rsidRDefault="00FF4E0F" w:rsidP="00370BA4">
      <w:pPr>
        <w:pStyle w:val="qk-md-li"/>
        <w:numPr>
          <w:ilvl w:val="0"/>
          <w:numId w:val="5"/>
        </w:numPr>
        <w:shd w:val="clear" w:color="auto" w:fill="FFF2CC"/>
        <w:spacing w:before="0" w:beforeAutospacing="0" w:after="0" w:afterAutospacing="0"/>
        <w:rPr>
          <w:rFonts w:ascii="Microsoft YaHei" w:eastAsia="Microsoft YaHei" w:hAnsi="Microsoft YaHei" w:cs="Segoe UI"/>
          <w:color w:val="060A26"/>
          <w:spacing w:val="5"/>
          <w:sz w:val="20"/>
          <w:szCs w:val="20"/>
        </w:rPr>
      </w:pPr>
      <w:r w:rsidRPr="00FF4E0F">
        <w:rPr>
          <w:rStyle w:val="qk-md-text"/>
          <w:rFonts w:ascii="Microsoft YaHei" w:eastAsia="Microsoft YaHei" w:hAnsi="Microsoft YaHei" w:cs="Segoe UI"/>
          <w:color w:val="060A26"/>
          <w:spacing w:val="5"/>
          <w:sz w:val="20"/>
          <w:szCs w:val="20"/>
        </w:rPr>
        <w:lastRenderedPageBreak/>
        <w:t>请举例说明一个“云平台+生态伙伴”联合交付的复杂项目（如跨国制造业数字化转型），重点描述伙伴角色与协作机制</w:t>
      </w:r>
      <w:r w:rsidRPr="00FF4E0F">
        <w:rPr>
          <w:rStyle w:val="qk-md-text"/>
          <w:rFonts w:ascii="Microsoft YaHei" w:eastAsia="Microsoft YaHei" w:hAnsi="Microsoft YaHei" w:cs="Microsoft YaHei" w:hint="eastAsia"/>
          <w:color w:val="060A26"/>
          <w:spacing w:val="5"/>
          <w:sz w:val="20"/>
          <w:szCs w:val="20"/>
        </w:rPr>
        <w:t>。</w:t>
      </w:r>
    </w:p>
    <w:p>
      <w:pPr>
        <w:rPr>
          <w:rFonts w:ascii="Arial" w:hAnsi="Arial"/>
          <w:sz w:val="20"/>
        </w:rPr>
      </w:pPr>
      <w:r>
        <w:rPr>
          <w:rFonts w:ascii="Arial" w:hAnsi="Arial"/>
          <w:sz w:val="20"/>
          <w:color w:val="333333"/>
        </w:rPr>
        <w:t>腾讯云的联合交付能力，可以从两个互补的样本中看出来。一个是和客户工程团队组成"双边联合交付"，把超大规模、高复杂度的跨境迁移做完；另一个是和第三方生态 ISV 形成"云平台+伙伴"角色分工，把垂直行业 AI 解决方案规模化落到海外卖家手里。两类协作机制都对外可被验证，都有公开量化结果。</w:t>
      </w:r>
    </w:p>
    <w:p>
      <w:pPr>
        <w:rPr>
          <w:rFonts w:ascii="Arial" w:hAnsi="Arial"/>
          <w:sz w:val="20"/>
        </w:rPr>
      </w:pPr>
      <w:r>
        <w:rPr>
          <w:rFonts w:ascii="Arial" w:hAnsi="Arial"/>
          <w:sz w:val="20"/>
          <w:color w:val="333333"/>
        </w:rPr>
        <w:t>主案例（双边交付的复杂度上限）— GoTo 印尼跨境迁移。GoTo 集团旗下 On-Demand Services（含 Gojek 出行、外卖、支付）于 2025 年 6 月完成从原跨境多云环境向腾讯云雅加达本地数据中心的整体迁移，目标是同时承接印尼数据主权合规承诺与下一阶段规模扩张。项目体量为东南亚迄今最大、最复杂的迁移之一。腾讯云方负责底层云平台、迁移技术与基础设施同步扩容：本次迁移使用 50 余款腾讯云产品（含 CVM 云服务器、CBS 云硬盘、WAF Web 应用防火墙、TKE 容器服务、Elasticsearch Service），并将雅加达地域专项扩容至第 3 个可用区，第三个数据中心已正式投运；数据库工具支持 10 余种数据库类型，提供数据复制、容灾、回滚能力。GoTo 工程团队为业务侧主力，与腾讯云工程团队完成 8 个月联合预研、压测、演练，并借此重构平台底座。量化成果：跨境多云切换窗口 4 小时 54 分钟，比计划提前 1 个多小时；1000 余个微服务一次性迁移到位；雅加达可用区由 2 个增至 3 个。诚实定性：GoTo 公开新闻稿对外披露的协作主体为"GoTo 工程团队 + 腾讯云工程团队"双方，未点名第三方生态伙伴；该案例代表"云平台 + 客户工程团队"双边联合交付的复杂度上限。</w:t>
      </w:r>
    </w:p>
    <w:p>
      <w:pPr>
        <w:rPr>
          <w:rFonts w:ascii="Arial" w:hAnsi="Arial"/>
          <w:sz w:val="20"/>
        </w:rPr>
      </w:pPr>
      <w:r>
        <w:rPr>
          <w:rFonts w:ascii="Arial" w:hAnsi="Arial"/>
          <w:sz w:val="20"/>
          <w:color w:val="333333"/>
        </w:rPr>
        <w:t>角色分工对外公开：腾讯云提供海外 Lighthouse 轻量服务器、EdgeOne 全球加速边缘节点、Serverless 容器服务、云原生数据库 TDSQL-C MySQL、混元大模型与智能体开发平台 ADP；稳卖科技提供跨境电商账号隔离运营环境、AI 浏览器前端、亚马逊 ASIN 数据驱动的垂直工具链与商业化通道。量化成果：海外站点首页加载延时由 10 秒压缩至 3 秒，整体访问延时降低 60%；后台 IT 成本较传统云方案降低 30% 以上；接入后单款商品内容生产由 3 小时压缩至 5 分钟内（35 倍）、单款选品调研由 8 小时缩至 30 分钟内（15 倍）、单 SKU 图片视频素材由 3-5 天压缩至数十分钟内（200 倍以上）；AI 工具调用量整体提升 8-12 倍，平台超过 95% 的卖家运营动作可通过 AI 与自动化流程完成，已服务数百家跨境电商。这是"云平台 + 第三方生态伙伴"角色分工和量化结果都公开可验证的代表性案例。</w:t>
      </w:r>
    </w:p>
    <w:p>
      <w:pPr>
        <w:rPr>
          <w:rFonts w:ascii="Arial" w:hAnsi="Arial"/>
          <w:sz w:val="20"/>
        </w:rPr>
      </w:pPr>
      <w:r>
        <w:rPr>
          <w:rFonts w:ascii="Arial" w:hAnsi="Arial"/>
          <w:sz w:val="20"/>
          <w:color w:val="333333"/>
        </w:rPr>
        <w:t>另外还有 3 个补充案例：第一，制造业欧洲迁移：美的集团于 2025 年 7 月将其欧洲 IT 业务迁移至腾讯云法兰克福数据中心，近 50 个独立业务系统统一进入云原生架构并完成容器化改造；同期腾讯云宣布 2026 Q2 在德国上线第三个可用区。第二，AI Agent 出海联合交付：海外多 Agent 平台 AgnesClaw（Agnes AI）于 2026 年 4 月启动六阶段割接，从 GCP 全面迁至腾讯云，使用 EdgeOne、TKE、CLB、TSE、TDSQL-C 等全栈基建；产品上线半月部署突破 1000 实例并向万级规模扩展，覆盖 180+ 国家、800 万+ 用户。第三，开发者生态联合交付：在新加坡国立大学（NUS）黑客松，腾讯云作为唯一官方云平台伙伴，为 174 名开发者统一提供 Lighthouse 实验环境，孵化 Agnes 模型 + OpenClaw 开源框架 + 腾讯云 Lighthouse 三件套构建的获奖应用。</w:t>
      </w:r>
    </w:p>
    <w:p>
      <w:pPr>
        <w:rPr>
          <w:rFonts w:ascii="Arial" w:hAnsi="Arial"/>
          <w:sz w:val="20"/>
        </w:rPr>
      </w:pPr>
      <w:r>
        <w:rPr>
          <w:rFonts w:ascii="Arial" w:hAnsi="Arial"/>
          <w:sz w:val="20"/>
          <w:color w:val="333333"/>
        </w:rPr>
        <w:t>生态网络底色。在出海赛道，腾讯云正在以"平台 + ISV + 渠道 + 本地合规伙伴"四层结构组织联合交付：跨境电商侧（钛动科技 LinkFox Agent、稳卖 AI 浏览器、紫讯）；连锁零售线下出海（万店掌）；跨境支付（威富通服务 200 多家海外金融机构、日均 4000 万笔交易）；联盟营销（PartnerBoost）；多语种文档处理（合合信息 INTSIG Docflow Agent，覆盖 52 种语言、效率提升 6 倍）；广告变现（TopOn）；MaaS（PPIO Serverless GPU，TOKEN 成本下降 60%、P99&lt;1.5 秒）；以及电信运营商生态侧的 Mobily（沙特"Go Saudi"项目，腾讯云提供 TCE 企业级云平台与 TCMPP 小程序能力，Mobily 作为本地实体面对沙特企业客户）。整体伙伴生态规模 11000 家。</w:t>
      </w:r>
    </w:p>
    <w:p>
      <w:pPr>
        <w:rPr>
          <w:rFonts w:ascii="Arial" w:hAnsi="Arial"/>
          <w:sz w:val="20"/>
        </w:rPr>
      </w:pPr>
      <w:r>
        <w:rPr>
          <w:rFonts w:ascii="Arial" w:hAnsi="Arial"/>
          <w:sz w:val="20"/>
          <w:color w:val="333333"/>
        </w:rPr>
        <w:t>"云平台 + 生态伙伴"在腾讯云出海实际形态中并非单一答案：跨境复杂迁移更多以"云平台 + 客户工程团队"双边形态完成（GoTo、美的欧洲），第三方 ISV / 渠道 / 本地实体的"云平台 + 生态伙伴"角色分工则在跨境电商、AI Agent、电信运营商等场景里有清晰公开的样本（稳卖、AgnesClaw、Mobily）。两种形态都属于联合交付，差异在于第三方伙伴是否进入项目对外披露的署名层。</w:t>
      </w:r>
    </w:p>
    <w:p w14:paraId="0F893B33" w14:textId="7BB525C5" w:rsidR="00BE3988" w:rsidRPr="00BE3988" w:rsidRDefault="00FF4E0F" w:rsidP="00BE3988">
      <w:pPr>
        <w:rPr>
          <w:rFonts w:ascii="Microsoft YaHei" w:eastAsia="Microsoft YaHei" w:hAnsi="Microsoft YaHei"/>
          <w:b/>
          <w:bCs/>
          <w:sz w:val="20"/>
          <w:szCs w:val="20"/>
        </w:rPr>
        <w:shd w:val="clear" w:color="auto" w:fill="FFF2CC"/>
      </w:pPr>
      <w:r>
        <w:rPr>
          <w:rFonts w:ascii="Microsoft YaHei" w:eastAsia="Microsoft YaHei" w:hAnsi="Microsoft YaHei" w:hint="eastAsia"/>
          <w:b/>
          <w:bCs/>
          <w:sz w:val="20"/>
          <w:szCs w:val="20"/>
        </w:rPr>
        <w:t>Section 4 全球</w:t>
      </w:r>
      <w:r w:rsidR="00BE3988" w:rsidRPr="00BE3988">
        <w:rPr>
          <w:rFonts w:ascii="Microsoft YaHei" w:eastAsia="Microsoft YaHei" w:hAnsi="Microsoft YaHei"/>
          <w:b/>
          <w:bCs/>
          <w:sz w:val="20"/>
          <w:szCs w:val="20"/>
        </w:rPr>
        <w:t>运营能力 (Global Operational Capabilities)</w:t>
      </w:r>
    </w:p>
    <w:p w14:paraId="37B9BB69" w14:textId="77777777" w:rsidR="00BE3988" w:rsidRPr="00BE3988" w:rsidRDefault="00BE3988" w:rsidP="00370BA4">
      <w:pPr>
        <w:numPr>
          <w:ilvl w:val="0"/>
          <w:numId w:val="22"/>
        </w:numPr>
        <w:rPr>
          <w:rFonts w:ascii="Microsoft YaHei" w:eastAsia="Microsoft YaHei" w:hAnsi="Microsoft YaHei"/>
          <w:sz w:val="20"/>
          <w:szCs w:val="20"/>
        </w:rPr>
      </w:pPr>
      <w:r w:rsidRPr="00BE3988">
        <w:rPr>
          <w:rFonts w:ascii="Microsoft YaHei" w:eastAsia="Microsoft YaHei" w:hAnsi="Microsoft YaHei"/>
          <w:sz w:val="20"/>
          <w:szCs w:val="20"/>
        </w:rPr>
        <w:t>技术支持：</w:t>
      </w:r>
      <w:r w:rsidRPr="00BE3988">
        <w:rPr>
          <w:rFonts w:ascii="Microsoft YaHei" w:eastAsia="Microsoft YaHei" w:hAnsi="Microsoft YaHei"/>
          <w:sz w:val="20"/>
          <w:szCs w:val="20"/>
        </w:rPr>
        <w:br/>
        <w:t>如何实现"原厂级别、无时差"的技术支持？请提供：</w:t>
      </w:r>
    </w:p>
    <w:p w14:paraId="6B577027" w14:textId="5BAE8CDA" w:rsidR="00BE3988" w:rsidRPr="00BE3988" w:rsidRDefault="00BE3988" w:rsidP="00370BA4">
      <w:pPr>
        <w:numPr>
          <w:ilvl w:val="1"/>
          <w:numId w:val="22"/>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7×24小时响应SLA</w:t>
      </w:r>
      <w:r w:rsidR="00FF4E0F">
        <w:rPr>
          <w:rFonts w:ascii="Microsoft YaHei" w:eastAsia="Microsoft YaHei" w:hAnsi="Microsoft YaHei" w:hint="eastAsia"/>
          <w:sz w:val="20"/>
          <w:szCs w:val="20"/>
        </w:rPr>
        <w:t>？</w:t>
      </w:r>
    </w:p>
    <w:p>
      <w:pPr>
        <w:rPr>
          <w:rFonts w:ascii="Arial" w:hAnsi="Arial"/>
          <w:sz w:val="20"/>
        </w:rPr>
      </w:pPr>
      <w:r>
        <w:rPr>
          <w:rFonts w:ascii="Arial" w:hAnsi="Arial"/>
          <w:sz w:val="20"/>
          <w:color w:val="333333"/>
        </w:rPr>
        <w:t>腾讯云国际站对外发布四档支持计划，全部 7×24 受理，按案例严重程度分级承诺首次响应时间。Basic 档：常规问题 &lt; 16 小时，仅工单。Developer 档：常规问题 &lt; 16 小时，系统受损 &lt; 8 小时，工单加电话。Business 档：常规问题 &lt; 16 小时，系统受损 &lt; 8 小时，生产系统受影响 &lt; 30 分钟，工单加电话。Enterprise 档：常规问题 &lt; 8 小时，系统受损 &lt; 4 小时，生产系统受影响 &lt; 20 分钟，业务关键档（即 P1 等价档）&lt; 15 分钟，工单加电话加在线聊天三通道全 7×24，并由 Cloud Support Experts 接单、配专属 Designated TAM。腾讯原生四档严重等级与业界 P1 至 P4 对应关系为：业务关键对应 P1，生产系统受影响对应 P2，系统受损对应 P3，常规问题对应 P4。以上数值均为首次响应 SLA，非问题解决时长。</w:t>
      </w:r>
    </w:p>
    <w:p w14:paraId="14766D2D" w14:textId="43A2E817" w:rsidR="00BE3988" w:rsidRDefault="00BE3988" w:rsidP="00370BA4">
      <w:pPr>
        <w:numPr>
          <w:ilvl w:val="1"/>
          <w:numId w:val="22"/>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本地化技术团队配置</w:t>
      </w:r>
      <w:r w:rsidR="00FF4E0F">
        <w:rPr>
          <w:rFonts w:ascii="Microsoft YaHei" w:eastAsia="Microsoft YaHei" w:hAnsi="Microsoft YaHei" w:hint="eastAsia"/>
          <w:sz w:val="20"/>
          <w:szCs w:val="20"/>
        </w:rPr>
        <w:t>？</w:t>
      </w:r>
    </w:p>
    <w:p>
      <w:pPr>
        <w:rPr>
          <w:rFonts w:ascii="Arial" w:hAnsi="Arial"/>
          <w:sz w:val="20"/>
        </w:rPr>
      </w:pPr>
      <w:r>
        <w:rPr>
          <w:rFonts w:ascii="Arial" w:hAnsi="Arial"/>
          <w:sz w:val="20"/>
          <w:color w:val="333333"/>
        </w:rPr>
        <w:t>腾讯云已在海外形成三层覆盖结构。第一层是 9 大海外技术支持中心，分布于雅加达、马尼拉、吉隆坡、新加坡、曼谷、东京、首尔、帕罗奥图、法兰克福；</w:t>
      </w:r>
    </w:p>
    <w:p>
      <w:pPr>
        <w:rPr>
          <w:rFonts w:ascii="Arial" w:hAnsi="Arial"/>
          <w:sz w:val="20"/>
        </w:rPr>
      </w:pPr>
      <w:r>
        <w:rPr>
          <w:rFonts w:ascii="Arial" w:hAnsi="Arial"/>
          <w:sz w:val="20"/>
          <w:color w:val="333333"/>
        </w:rPr>
        <w:t>第二层是 11 个区域办公室，承担当地销售与客户对接职能；</w:t>
      </w:r>
    </w:p>
    <w:p>
      <w:pPr>
        <w:rPr>
          <w:rFonts w:ascii="Arial" w:hAnsi="Arial"/>
          <w:sz w:val="20"/>
        </w:rPr>
      </w:pPr>
      <w:r>
        <w:rPr>
          <w:rFonts w:ascii="Arial" w:hAnsi="Arial"/>
          <w:sz w:val="20"/>
          <w:color w:val="333333"/>
        </w:rPr>
        <w:t>第三层是 100+ 全球技术支持触点，覆盖名义中心之外的客户在地服务半径，整体服务面延伸至 80 多个国家和地区。Enterprise 档客户由 Cloud Support Experts 团队接单，并指派专属 Designated TAM 作为单一对接人，统一打通工单、电话与在线聊天三个 7×24 通道，向客户提供与原厂同等级的专家级响应。</w:t>
      </w:r>
    </w:p>
    <w:p w14:paraId="19EF6AD6" w14:textId="2AF63D85" w:rsidR="00FF4E0F" w:rsidRPr="00BE3988" w:rsidRDefault="00FF4E0F" w:rsidP="00370BA4">
      <w:pPr>
        <w:numPr>
          <w:ilvl w:val="1"/>
          <w:numId w:val="22"/>
        </w:numPr>
        <w:rPr>
          <w:rFonts w:ascii="Microsoft YaHei" w:eastAsia="Microsoft YaHei" w:hAnsi="Microsoft YaHei"/>
          <w:sz w:val="20"/>
          <w:szCs w:val="20"/>
        </w:rPr>
        <w:shd w:val="clear" w:color="auto" w:fill="FFF2CC"/>
      </w:pPr>
      <w:r>
        <w:rPr>
          <w:rFonts w:ascii="Microsoft YaHei" w:eastAsia="Microsoft YaHei" w:hAnsi="Microsoft YaHei" w:hint="eastAsia"/>
          <w:sz w:val="20"/>
          <w:szCs w:val="20"/>
        </w:rPr>
        <w:t>多语言工单系统？</w:t>
      </w:r>
    </w:p>
    <w:p>
      <w:pPr>
        <w:rPr>
          <w:rFonts w:ascii="Arial" w:hAnsi="Arial"/>
          <w:sz w:val="20"/>
        </w:rPr>
      </w:pPr>
      <w:r>
        <w:rPr>
          <w:rFonts w:ascii="Arial" w:hAnsi="Arial"/>
          <w:sz w:val="20"/>
          <w:color w:val="333333"/>
        </w:rPr>
        <w:t>腾讯云国际门户与控制台支持 6 种界面语言：英语、韩语、日语、简体中文、葡萄牙语、印尼语。客服通道按档配置：工单 7×24 在四档全覆盖；电话 7×24 在 Developer、Business、Enterprise 三档覆盖；在线聊天 7×24 仅 Enterprise 档覆盖。</w:t>
      </w:r>
    </w:p>
    <w:p>
      <w:pPr>
        <w:rPr>
          <w:rFonts w:ascii="Arial" w:hAnsi="Arial"/>
          <w:sz w:val="20"/>
        </w:rPr>
      </w:pPr>
      <w:r>
        <w:rPr>
          <w:rFonts w:ascii="Arial" w:hAnsi="Arial"/>
          <w:sz w:val="20"/>
          <w:color w:val="333333"/>
        </w:rPr>
        <w:t>24/7 免费电话热线已开通 5 个国家或地区——中国香港 +852 800 906 020、美国 +1 844 606 0804、英国 +44 808 196 4551、加拿大 +1 888 605 7930、澳大利亚 +61 1300 986 386；另设 EdgeOne 付费热线 +852 300 80699，更多本地热线在持续开通中。</w:t>
      </w:r>
    </w:p>
    <w:p w14:paraId="1E470522" w14:textId="77777777" w:rsidR="00BE3988" w:rsidRPr="00BE3988" w:rsidRDefault="00BE3988" w:rsidP="00370BA4">
      <w:pPr>
        <w:numPr>
          <w:ilvl w:val="1"/>
          <w:numId w:val="22"/>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典型问题解决时效（如：P1级问题）</w:t>
      </w:r>
    </w:p>
    <w:p>
      <w:pPr>
        <w:rPr>
          <w:rFonts w:ascii="Arial" w:hAnsi="Arial"/>
          <w:sz w:val="20"/>
        </w:rPr>
      </w:pPr>
      <w:r>
        <w:rPr>
          <w:rFonts w:ascii="Arial" w:hAnsi="Arial"/>
          <w:sz w:val="20"/>
          <w:color w:val="333333"/>
        </w:rPr>
        <w:t>P1（业务关键 / Business critical）首次响应承诺为 &lt; 15 分钟，仅在 Enterprise 档提供。Business 档不设独立 P1 档，最高严重档为生产系统受影响 &lt; 30 分钟首次响应；Developer 档最高为系统受损 &lt; 8 小时首次响应；Basic 档最高为常规问题 &lt; 16 小时首次响应。须说明的是：腾讯云对外公开文档承诺的是首次响应时间 SLA，非问题解决时长 SLA；公司未对外披露 MTTR 维度的承诺值。Enterprise 档下，由 Designated TAM 与 Cloud Support Experts 团队对 P1 工单进行端到端跟进直至闭环，但端到端的解决时长不进入对外 SLA 承诺面。</w:t>
      </w:r>
    </w:p>
    <w:p w14:paraId="3912497D" w14:textId="77777777" w:rsidR="00FF4E0F" w:rsidRPr="00FF4E0F" w:rsidRDefault="00FF4E0F" w:rsidP="00370BA4">
      <w:pPr>
        <w:pStyle w:val="qk-md-li"/>
        <w:numPr>
          <w:ilvl w:val="0"/>
          <w:numId w:val="22"/>
        </w:numPr>
        <w:shd w:val="clear" w:color="auto" w:fill="FFF2CC"/>
        <w:spacing w:before="0" w:beforeAutospacing="0" w:after="120" w:afterAutospacing="0"/>
        <w:rPr>
          <w:rFonts w:ascii="Microsoft YaHei" w:eastAsia="Microsoft YaHei" w:hAnsi="Microsoft YaHei" w:cs="Segoe UI"/>
          <w:color w:val="060A26"/>
          <w:spacing w:val="5"/>
          <w:sz w:val="20"/>
          <w:szCs w:val="20"/>
        </w:rPr>
      </w:pPr>
      <w:r w:rsidRPr="00FF4E0F">
        <w:rPr>
          <w:rStyle w:val="qk-md-text"/>
          <w:rFonts w:ascii="Microsoft YaHei" w:eastAsia="Microsoft YaHei" w:hAnsi="Microsoft YaHei" w:cs="Segoe UI"/>
          <w:color w:val="060A26"/>
          <w:spacing w:val="5"/>
          <w:sz w:val="20"/>
          <w:szCs w:val="20"/>
        </w:rPr>
        <w:t>针对文化差异导致的沟通障碍（如欧美客户强调流程合规、中东客户重视关系信任），贵公司有哪些标准化服务流程与本地化适配策略</w:t>
      </w:r>
      <w:r w:rsidRPr="00FF4E0F">
        <w:rPr>
          <w:rStyle w:val="qk-md-text"/>
          <w:rFonts w:ascii="Microsoft YaHei" w:eastAsia="Microsoft YaHei" w:hAnsi="Microsoft YaHei" w:cs="Microsoft YaHei" w:hint="eastAsia"/>
          <w:color w:val="060A26"/>
          <w:spacing w:val="5"/>
          <w:sz w:val="20"/>
          <w:szCs w:val="20"/>
        </w:rPr>
        <w:t>？</w:t>
      </w:r>
    </w:p>
    <w:p>
      <w:pPr>
        <w:rPr>
          <w:rFonts w:ascii="Arial" w:hAnsi="Arial"/>
          <w:sz w:val="20"/>
        </w:rPr>
      </w:pPr>
      <w:r>
        <w:rPr>
          <w:rFonts w:ascii="Arial" w:hAnsi="Arial"/>
          <w:sz w:val="20"/>
          <w:color w:val="333333"/>
        </w:rPr>
        <w:t>腾讯云面向跨文化客户的服务标准化分两层：流程层做到全球同一口径，覆盖采购合规可审计的硬指标；适配层依靠在地实体落地，按市场用不同的组织结构回应不同的决策习惯。我们不依赖一份"按文化分类的客服培训手册"作为差异化卖点，而是用可审计的服务流程加上在地团队、在地合作伙伴、在地数据中心这三件可验证的事实组合应对。</w:t>
      </w:r>
    </w:p>
    <w:p>
      <w:pPr>
        <w:rPr>
          <w:rFonts w:ascii="Arial" w:hAnsi="Arial"/>
          <w:sz w:val="20"/>
        </w:rPr>
      </w:pPr>
      <w:r>
        <w:rPr>
          <w:rFonts w:ascii="Arial" w:hAnsi="Arial"/>
          <w:sz w:val="20"/>
          <w:color w:val="333333"/>
        </w:rPr>
        <w:t>流程层（全球同一套标准，可被采购合规审计）：腾讯云国际站发布统一的 Support Plan，分 Basic、Developer、Business、Enterprise 四档。Enterprise 档承诺响应时间为：一般问题 &lt; 8 小时、系统受损 &lt; 4 小时、生产系统受影响 &lt; 20 分钟、业务关键 &lt; 15 分钟，并配备 Designated Technical Account Manager、架构咨询服务、年度上门服务（最多 3 人天），以及 24/7 电话、工单、在线聊天三通道接入。中国香港、美国、英国、加拿大、澳大利亚五地公开 24/7 免费热线；国际站门户与控制台支持英、日、韩、中（简）、葡、印尼共 6 种语言。这是欧美客户在采购评估中要求的"过程可追溯、责任有归属"的形态——四档 SLA 矩阵明文写出严重等级、响应时长与责任主体，与欧美企业采购流程的合规审计要求严密对齐。</w:t>
      </w:r>
    </w:p>
    <w:p>
      <w:pPr>
        <w:rPr>
          <w:rFonts w:ascii="Arial" w:hAnsi="Arial"/>
          <w:sz w:val="20"/>
        </w:rPr>
      </w:pPr>
      <w:r>
        <w:rPr>
          <w:rFonts w:ascii="Arial" w:hAnsi="Arial"/>
          <w:sz w:val="20"/>
          <w:color w:val="333333"/>
        </w:rPr>
        <w:t>适配层（按市场用不同的在地结构落地）：</w:t>
      </w:r>
    </w:p>
    <w:p>
      <w:pPr>
        <w:rPr>
          <w:rFonts w:ascii="Arial" w:hAnsi="Arial"/>
          <w:sz w:val="20"/>
        </w:rPr>
      </w:pPr>
      <w:r>
        <w:rPr>
          <w:rFonts w:ascii="Arial" w:hAnsi="Arial"/>
          <w:sz w:val="20"/>
          <w:color w:val="333333"/>
        </w:rPr>
        <w:t>第一，技术支持中心 + 区域办公室 + 全球触点三层覆盖。截至 2026 年 3 月，腾讯云在全球设有 9 大技术支持中心（雅加达、马尼拉、吉隆坡、新加坡、曼谷、东京、首尔、帕罗奥图、法兰克福）、11 个区域办公室、以及 100 多个全球技术支持触点，服务覆盖 80 多个国家和地区。法兰克福与帕罗奥图服务欧美客户的合规和工作时区跟进；东京、首尔服务高语境的日韩市场；东南亚五城（雅加达、马尼拉、吉隆坡、新加坡、曼谷）覆盖区域内的多语言、多政策环境。</w:t>
      </w:r>
    </w:p>
    <w:p>
      <w:pPr>
        <w:rPr>
          <w:rFonts w:ascii="Arial" w:hAnsi="Arial"/>
          <w:sz w:val="20"/>
        </w:rPr>
      </w:pPr>
      <w:r>
        <w:rPr>
          <w:rFonts w:ascii="Arial" w:hAnsi="Arial"/>
          <w:sz w:val="20"/>
          <w:color w:val="333333"/>
        </w:rPr>
        <w:t>第二，中东市场用本地战略合作落地"先关系后合同"的决策习惯。与沙特电信运营商 Etihad Etisalat（Mobily）联合发布的 "Go Saudi" 项目，由 Mobily 作为本地实体面对沙特企业客户，腾讯云提供底层企业级私有云平台（TCE）与 TCMPP 小程序能力，在用户隐私、数据驻留、本地监管对齐三件事上同时给出承诺。客户关系和签约主体落在本地伙伴而非跨境直签——这是结构层面的关系信任回应，而不是话术层面的。腾讯云已宣布在沙特投入 1.5 亿美元建设其首个中东数据中心。</w:t>
      </w:r>
    </w:p>
    <w:p>
      <w:pPr>
        <w:rPr>
          <w:rFonts w:ascii="Arial" w:hAnsi="Arial"/>
          <w:sz w:val="20"/>
        </w:rPr>
      </w:pPr>
      <w:r>
        <w:rPr>
          <w:rFonts w:ascii="Arial" w:hAnsi="Arial"/>
          <w:sz w:val="20"/>
          <w:color w:val="333333"/>
        </w:rPr>
        <w:t>第三，东南亚市场用区域 ICT 伙伴封装本地化交付。与中信国际电讯 (CPC) 全资子公司 Acclivis 的战略合作覆盖新加坡、马来西亚、印尼、泰国、菲律宾和中国香港。Acclivis 提供互联网接入、托管服务和终端 IT 支持，把腾讯云的云平台能力封装进本地化、多语种的 ICT 交付包，由本地团队面对客户。配合腾讯云 11,000 家全球合作伙伴生态，区域内不同市场可按当地最熟悉的合作形态承接。</w:t>
      </w:r>
    </w:p>
    <w:p>
      <w:pPr>
        <w:rPr>
          <w:rFonts w:ascii="Arial" w:hAnsi="Arial"/>
          <w:sz w:val="20"/>
        </w:rPr>
      </w:pPr>
      <w:r>
        <w:rPr>
          <w:rFonts w:ascii="Arial" w:hAnsi="Arial"/>
          <w:sz w:val="20"/>
          <w:color w:val="333333"/>
        </w:rPr>
        <w:t>第四，基础设施持续在地化。腾讯云目前覆盖 22 个地区、运营 64 个可用区，叠加 3,200 多个全球加速节点与 400T 带宽储备；正在建设第三个大阪数据中心并新设大阪办公室，沙特首个中东数据中心已立项；累计获得 400 多项国际专业认证，覆盖 GDPR、ISO、SOC 等主流合规标准。在地数据中心的存在本身就是对当地监管与文化偏好（数据驻留、合规审计、本地服务方）的最直接回应。</w:t>
      </w:r>
    </w:p>
    <w:p w14:paraId="041F63DB" w14:textId="525E6082" w:rsidR="00BE3988" w:rsidRDefault="00BE3988" w:rsidP="00370BA4">
      <w:pPr>
        <w:numPr>
          <w:ilvl w:val="0"/>
          <w:numId w:val="22"/>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成功案例：</w:t>
      </w:r>
      <w:r w:rsidRPr="00BE3988">
        <w:rPr>
          <w:rFonts w:ascii="Microsoft YaHei" w:eastAsia="Microsoft YaHei" w:hAnsi="Microsoft YaHei"/>
          <w:sz w:val="20"/>
          <w:szCs w:val="20"/>
        </w:rPr>
        <w:br/>
        <w:t>请分享一个通过生态协同成功服务中企出海的案例（客户行业、挑战、解决方案、成果）</w:t>
      </w:r>
    </w:p>
    <w:p>
      <w:pPr>
        <w:rPr>
          <w:rFonts w:ascii="Arial" w:hAnsi="Arial"/>
          <w:sz w:val="20"/>
        </w:rPr>
        <w:shd w:val="clear" w:color="auto" w:fill="FFF2CC"/>
      </w:pPr>
      <w:r>
        <w:rPr>
          <w:rFonts w:ascii="Arial" w:hAnsi="Arial"/>
          <w:sz w:val="20"/>
          <w:color w:val="333333"/>
        </w:rPr>
        <w:t>行业：跨境电商出海。</w:t>
      </w:r>
    </w:p>
    <w:p>
      <w:pPr>
        <w:rPr>
          <w:rFonts w:ascii="Arial" w:hAnsi="Arial"/>
          <w:sz w:val="20"/>
        </w:rPr>
      </w:pPr>
      <w:r>
        <w:rPr>
          <w:rFonts w:ascii="Arial" w:hAnsi="Arial"/>
          <w:sz w:val="20"/>
          <w:color w:val="333333"/>
        </w:rPr>
        <w:t>腾讯云面向跨境电商以 EdgeOne 全球边缘为底座，覆盖 3,200+ 边缘节点与 200+ Tbps 储备带宽，通过边缘函数与规则引擎按地理位置路由不同语言的站点路径，叠加 DDoS 防护、WAF、Bot 管理、API 安全、反账号劫持、反假单与反爬虫等一体化边缘安全能力，应对促销期间流量高峰与欺诈风险；动静态分离加速、边缘图像处理与 GEO 感知数据路由进一步压缩访问延迟并满足本地数据合规。多语言层面，混元开源翻译模型已支持 30+ 语种，配合腾讯云 GME 实时语音 120 语种转写、生态伙伴合合信息 INTSIG Docflow 52 语种识别，能够覆盖跨境店铺与客服的语言场景。</w:t>
      </w:r>
    </w:p>
    <w:p>
      <w:pPr>
        <w:rPr>
          <w:rFonts w:ascii="Arial" w:hAnsi="Arial"/>
          <w:sz w:val="20"/>
        </w:rPr>
      </w:pPr>
      <w:r>
        <w:rPr>
          <w:rFonts w:ascii="Arial" w:hAnsi="Arial"/>
          <w:sz w:val="20"/>
          <w:color w:val="333333"/>
        </w:rPr>
        <w:t>最具代表性的合作是 2026 年 1 月 30 日与萨摩耶旗下稳卖科技达成的战略合作。稳卖 AI 浏览器后台基于腾讯云 Lighthouse、Serverless 容器、TDSQL-C MySQL、EdgeOne、混元大模型与智能体开发平台 ADP 构建：海外站点首页加载延迟由 10 秒压缩至 3 秒、整体访问延时降低 60%，IT 成本较传统云下降 30% 以上；联合方案上线后，AI 工具调用量提升 8-12 倍，单 SKU 内容生产由 3 小时压缩至 5 分钟以内（35 倍）、选品分析由 8 小时缩短至 30 分钟以内（15 倍）、图片视频素材生产由 3-5 天压缩至数十分钟（约 200 倍效率提升），覆盖 95%+ 的跨境运营动作端到端自动化，已服务数百家跨境商家。Super App as a Service（TCSAS）已被亚太、中东与美洲海外企业广泛采用，提供同代码多平台的小程序生态、容器、安全与多商户开放能力。</w:t>
      </w:r>
    </w:p>
    <w:p>
      <w:pPr>
        <w:rPr>
          <w:rFonts w:ascii="Arial" w:hAnsi="Arial"/>
          <w:sz w:val="20"/>
        </w:rPr>
        <w:shd w:val="clear" w:color="auto" w:fill="FFF2CC"/>
      </w:pPr>
      <w:r>
        <w:rPr>
          <w:rFonts w:ascii="Arial" w:hAnsi="Arial"/>
          <w:sz w:val="20"/>
          <w:color w:val="333333"/>
        </w:rPr>
        <w:t>本地支付层面如实定位：腾讯云国际站未将本地支付列为独立产品 SKU，跨境支付能力来自两条互补路径——一是腾讯集团生态（Weixin Pay、WeChat Pay HK、TenPay Global）在 2025 香港金融科技周展示的跨境支付创新；二是腾讯云作为底座赋能的支付 ISV 伙伴，例如威富通基于腾讯云弹性计算、数据库与支付能力，为中银香港、中东 Tiqmo 等 200+ 海外金融机构提供支付与数字钱包服务，日均处理超 4,000 万笔交易。生态伙伴矩阵还包括钛动科技 Navos AI 营销智能体、万店掌全球门店统一运营、紫讯 LinkFox 跨境电商 Agent（新品调研由 2-3 天压缩至 10 分钟）、PartnerBoost 海外红人联盟营销、时代涌现 AIGC 数字员工等，形成"平台 + ISV + 渠道 + 本地合规伙伴"的电商出海闭环。</w:t>
      </w:r>
    </w:p>
    <w:p>
      <w:pPr>
        <w:rPr>
          <w:rFonts w:ascii="Arial" w:hAnsi="Arial"/>
          <w:sz w:val="20"/>
        </w:rPr>
      </w:pPr>
      <w:r>
        <w:rPr>
          <w:rFonts w:ascii="Arial" w:hAnsi="Arial"/>
          <w:sz w:val="20"/>
          <w:color w:val="333333"/>
        </w:rPr>
        <w:t>伙伴与角色分工：腾讯云作为云平台底座，深圳市稳卖科技作为跨境电商垂直生态伙伴。2026 年 1 月 30 日双方签署战略合作协议，由腾讯云高级副总裁徐翊鸣与稳卖科技董事长林建明共同见证，由腾讯云数字金融副总经理罗盛与稳卖科技高级副总裁罗紫红代表双方签署。</w:t>
      </w:r>
    </w:p>
    <w:p>
      <w:pPr>
        <w:rPr>
          <w:rFonts w:ascii="Arial" w:hAnsi="Arial"/>
          <w:sz w:val="20"/>
        </w:rPr>
      </w:pPr>
      <w:r>
        <w:rPr>
          <w:rFonts w:ascii="Arial" w:hAnsi="Arial"/>
          <w:sz w:val="20"/>
          <w:color w:val="333333"/>
        </w:rPr>
        <w:t>挑战：中国跨境卖家长期面临网络不稳定、海外站点首屏加载延迟约 10 秒、账号关联与封号风险、运营成本高、内容与选品高度依赖人工等问题。在传统模式下，单款商品的标题、五点描述与视觉素材制作平均超过 3 小时；选品调研单款超过 8 小时，转化率不足 30%；单 SKU 图片与视频素材生产需要 3 至 5 天，导致核心运营能力难以规模化复制。</w:t>
      </w:r>
    </w:p>
    <w:p>
      <w:pPr>
        <w:rPr>
          <w:rFonts w:ascii="Arial" w:hAnsi="Arial"/>
          <w:sz w:val="20"/>
        </w:rPr>
      </w:pPr>
      <w:r>
        <w:rPr>
          <w:rFonts w:ascii="Arial" w:hAnsi="Arial"/>
          <w:sz w:val="20"/>
          <w:color w:val="333333"/>
        </w:rPr>
        <w:t>解决方案：双方将腾讯云的云计算与 AI 大模型底座，与稳卖在跨境业务侧的积累深度整合，联合推出"AI+跨境"智能运营方案。腾讯云提供 Lighthouse 轻量应用服务器（保障安全合规的店铺运营环境）、EO 全球加速边缘节点（动静分离、海外访问加速）、Serverless 容器服务与 TDSQL-C MySQL 云原生数据库（弹性伸缩与高可用）、混元大模型（商品智能分析、文生图、图生图、多模态视频生成）以及智能体开发平台 ADP（运营 Agent 运行时）。稳卖科技负责跨境电商账号隔离环境、AI 浏览器前端、基于亚马逊 ASIN 的垂直工具链以及面向数百家跨境卖家的商业化通路。</w:t>
      </w:r>
    </w:p>
    <w:p>
      <w:pPr>
        <w:rPr>
          <w:rFonts w:ascii="Arial" w:hAnsi="Arial"/>
          <w:sz w:val="20"/>
        </w:rPr>
      </w:pPr>
      <w:r>
        <w:rPr>
          <w:rFonts w:ascii="Arial" w:hAnsi="Arial"/>
          <w:sz w:val="20"/>
          <w:color w:val="333333"/>
        </w:rPr>
        <w:t>成果：合作上线后，海外站点首屏加载延迟由 10 秒压缩至 3 秒，整体访问延时下降 60%；后台基于云原生改造后，整体 IT 成本较传统云方案下降 30% 以上；平台 AI 工具调用量提升 8 至 12 倍。落到具体的中国跨境卖家身上：单款商品内容生产由 3 小时以上压缩至 5 分钟以内（提效约 35 倍）；单款选品调研由 8 小时以上压缩至 30 分钟以内（提效约 15 倍）；单 SKU 图片与视频素材由 3 至 5 天压缩至数十分钟（提效超过 200 倍）；从选品分析、内容生成、素材制作到上架准备等超过 95% 的运营动作可通过 AI 与自动化流程完成。该方案目前已助力数百家中国跨境电商规模化提效。</w:t>
      </w:r>
    </w:p>
    <w:p>
      <w:pPr>
        <w:rPr>
          <w:rFonts w:ascii="Arial" w:hAnsi="Arial"/>
          <w:sz w:val="20"/>
        </w:rPr>
      </w:pPr>
      <w:r>
        <w:rPr>
          <w:rFonts w:ascii="Arial" w:hAnsi="Arial"/>
          <w:sz w:val="20"/>
          <w:color w:val="333333"/>
        </w:rPr>
        <w:t>生态宽度的同形态延伸：在跨境支付方向，腾讯云与威富通基于腾讯云弹性计算、数据库与支付能力，为中银香港、中东 Tiqmo 等 200 多家海外金融机构提供支付与数字钱包服务，日均处理超过 4000 万笔交易，承载了大量中国出海企业的全球资金流。在地理落地方向，腾讯云联合沙特电信运营商 Mobily 推出"Go Saudi"项目，并规划 1.5 亿美元投资建设中东首个可用区，作为中国企业进入沙特的本地化承载通道。这一伙伴网络背后是腾讯云全球 22 个地区、64 个可用区、3200 个网络节点的基础设施，以及超过 2 万家海外客户、90% 以上头部互联网企业与 95% 以上头部游戏公司选择腾讯云出海的客户基数。</w:t>
      </w:r>
    </w:p>
    <w:p w14:paraId="01CF19EC" w14:textId="40BAC2C3" w:rsidR="00BE3988" w:rsidRPr="00BE3988" w:rsidRDefault="00BE3988" w:rsidP="00BE3988">
      <w:pPr>
        <w:rPr>
          <w:rFonts w:ascii="Microsoft YaHei" w:eastAsia="Microsoft YaHei" w:hAnsi="Microsoft YaHei"/>
          <w:b/>
          <w:bCs/>
          <w:sz w:val="20"/>
          <w:szCs w:val="20"/>
        </w:rPr>
        <w:shd w:val="clear" w:color="auto" w:fill="FFF2CC"/>
      </w:pPr>
      <w:r w:rsidRPr="00EF11D8">
        <w:rPr>
          <w:rFonts w:ascii="Microsoft YaHei" w:eastAsia="Microsoft YaHei" w:hAnsi="Microsoft YaHei" w:cs="Segoe UI Emoji"/>
          <w:b/>
          <w:bCs/>
          <w:sz w:val="20"/>
          <w:szCs w:val="20"/>
        </w:rPr>
        <w:t>S</w:t>
      </w:r>
      <w:r w:rsidRPr="00EF11D8">
        <w:rPr>
          <w:rFonts w:ascii="Microsoft YaHei" w:eastAsia="Microsoft YaHei" w:hAnsi="Microsoft YaHei" w:cs="Segoe UI Emoji" w:hint="eastAsia"/>
          <w:b/>
          <w:bCs/>
          <w:sz w:val="20"/>
          <w:szCs w:val="20"/>
        </w:rPr>
        <w:t xml:space="preserve">ection </w:t>
      </w:r>
      <w:r w:rsidR="00FF4E0F">
        <w:rPr>
          <w:rFonts w:ascii="Microsoft YaHei" w:eastAsia="Microsoft YaHei" w:hAnsi="Microsoft YaHei" w:cs="Segoe UI Emoji" w:hint="eastAsia"/>
          <w:b/>
          <w:bCs/>
          <w:sz w:val="20"/>
          <w:szCs w:val="20"/>
        </w:rPr>
        <w:t>5</w:t>
      </w:r>
      <w:r w:rsidRPr="00EF11D8">
        <w:rPr>
          <w:rFonts w:ascii="Microsoft YaHei" w:eastAsia="Microsoft YaHei" w:hAnsi="Microsoft YaHei" w:cs="Segoe UI Emoji" w:hint="eastAsia"/>
          <w:b/>
          <w:bCs/>
          <w:sz w:val="20"/>
          <w:szCs w:val="20"/>
        </w:rPr>
        <w:t xml:space="preserve"> </w:t>
      </w:r>
      <w:r w:rsidRPr="00BE3988">
        <w:rPr>
          <w:rFonts w:ascii="Microsoft YaHei" w:eastAsia="Microsoft YaHei" w:hAnsi="Microsoft YaHei"/>
          <w:b/>
          <w:bCs/>
          <w:sz w:val="20"/>
          <w:szCs w:val="20"/>
        </w:rPr>
        <w:t>全球安全合规保障 (Global Security &amp; Compliance Assurance)</w:t>
      </w:r>
    </w:p>
    <w:p w14:paraId="01221176" w14:textId="77777777" w:rsidR="00BE3988" w:rsidRPr="00BE3988" w:rsidRDefault="00BE3988" w:rsidP="00BE3988">
      <w:pPr>
        <w:numPr>
          <w:ilvl w:val="0"/>
          <w:numId w:val="6"/>
        </w:numPr>
        <w:rPr>
          <w:rFonts w:ascii="Microsoft YaHei" w:eastAsia="Microsoft YaHei" w:hAnsi="Microsoft YaHei"/>
          <w:sz w:val="20"/>
          <w:szCs w:val="20"/>
        </w:rPr>
      </w:pPr>
      <w:r w:rsidRPr="00BE3988">
        <w:rPr>
          <w:rFonts w:ascii="Microsoft YaHei" w:eastAsia="Microsoft YaHei" w:hAnsi="Microsoft YaHei"/>
          <w:sz w:val="20"/>
          <w:szCs w:val="20"/>
        </w:rPr>
        <w:t>合规覆盖：</w:t>
      </w:r>
      <w:r w:rsidRPr="00BE3988">
        <w:rPr>
          <w:rFonts w:ascii="Microsoft YaHei" w:eastAsia="Microsoft YaHei" w:hAnsi="Microsoft YaHei"/>
          <w:sz w:val="20"/>
          <w:szCs w:val="20"/>
        </w:rPr>
        <w:br/>
        <w:t>请列出贵司已通过的全球主要区域合规认证：</w:t>
      </w:r>
    </w:p>
    <w:p w14:paraId="13047B1E" w14:textId="77777777" w:rsidR="00BE3988" w:rsidRPr="00BE3988" w:rsidRDefault="00BE3988" w:rsidP="00BE3988">
      <w:pPr>
        <w:numPr>
          <w:ilvl w:val="1"/>
          <w:numId w:val="6"/>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东南亚：新加坡：MTCS Level-3（Multi-Tier Cloud Security）、OSPAR Audit Report（Outsourced Service Provider Audit Report）、Cyber Trust Mark（CSA Singapore 网络安全认证）、DPTM（Data Protection Trustmark Certification）。</w:t>
        <w:br/>
        <w:t>印度尼西亚：SNI 27001（印尼信息安全管理体系国家标准）、IT Compliance Audit in Indonesian Financial Industry（印尼金融业 IT 合规审计）。</w:t>
        <w:br/>
        <w:t>马来西亚：IT Compliance Audit in Malaysian Financial Industry（马来西亚金融业 IT 合规审计）。</w:t>
        <w:br/>
        <w:t>泰国：IT Compliance Audit in Thailand Financial Industry（泰国金融业 IT 合规审计）。</w:t>
      </w:r>
    </w:p>
    <w:p w14:paraId="2DF3EE8F" w14:textId="77777777" w:rsidR="00BE3988" w:rsidRPr="00BE3988" w:rsidRDefault="00BE3988" w:rsidP="00BE3988">
      <w:pPr>
        <w:numPr>
          <w:ilvl w:val="1"/>
          <w:numId w:val="6"/>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欧美：欧洲：C5（Cloud Computing Compliance Criteria Catalogue，德国 BSI）、TISAX（Trusted Information Security Assessment Exchange，德国汽车业）、CISPE（Cloud Infrastructure Services Providers in Europe Code of Conduct）、GDPR alignment（隐私白皮书声明遵循欧盟 GDPR；GDPR 是法规非第三方认证）。</w:t>
        <w:br/>
        <w:t>美洲：SOC 1 / SOC 2 / SOC 3（System and Organization Controls Reports，AICPA 体系）、HIPAA（Health Insurance Portability and Accountability Act，美国医疗）、NIST CSF（NIST Cybersecurity Framework）、SEC Rule 17a-4（美国证监会数据保留规则）、MPAA Content Security Model（美国电影协会内容安全标准）、GxP（GxP Compliance Assessment Report，制药行业）。</w:t>
      </w:r>
    </w:p>
    <w:p>
      <w:pPr>
        <w:rPr>
          <w:rFonts w:ascii="Arial" w:hAnsi="Arial"/>
          <w:sz w:val="20"/>
        </w:rPr>
      </w:pPr>
      <w:r>
        <w:rPr>
          <w:rFonts w:ascii="Arial" w:hAnsi="Arial"/>
          <w:sz w:val="20"/>
          <w:color w:val="333333"/>
        </w:rPr>
        <w:t>欧洲：C5（Cloud Computing Compliance Criteria Catalogue，德国 BSI）、TISAX（Trusted Information Security Assessment Exchange，德国汽车业）、CISPE（Cloud Infrastructure Services Providers in Europe Code of Conduct）、GDPR alignment（隐私白皮书声明遵循欧盟 GDPR；GDPR 是法规非第三方认证）。</w:t>
      </w:r>
    </w:p>
    <w:p>
      <w:pPr>
        <w:rPr>
          <w:rFonts w:ascii="Arial" w:hAnsi="Arial"/>
          <w:sz w:val="20"/>
        </w:rPr>
      </w:pPr>
      <w:r>
        <w:rPr>
          <w:rFonts w:ascii="Arial" w:hAnsi="Arial"/>
          <w:sz w:val="20"/>
          <w:color w:val="333333"/>
        </w:rPr>
        <w:t>美洲：SOC 1 / SOC 2 / SOC 3（System and Organization Controls Reports，AICPA 体系）、HIPAA（Health Insurance Portability and Accountability Act，美国医疗）、NIST CSF（NIST Cybersecurity Framework）、SEC Rule 17a-4（美国证监会数据保留规则）、MPAA Content Security Model（美国电影协会内容安全标准）、GxP（GxP Compliance Assessment Report，制药行业）。</w:t>
      </w:r>
    </w:p>
    <w:p w14:paraId="0213A14D" w14:textId="77777777" w:rsidR="00BE3988" w:rsidRPr="00BE3988" w:rsidRDefault="00BE3988" w:rsidP="00BE3988">
      <w:pPr>
        <w:numPr>
          <w:ilvl w:val="1"/>
          <w:numId w:val="6"/>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中东：基础设施层面，腾讯云已于 2025 年 2 月在沙特利雅得（Riyadh）开设中东区域，含 2 个可用区，全球类合规资质（ISO/IEC 27001、ISO/IEC 27017、ISO/IEC 27018、CSA STAR、SOC 2、PCI DSS 等）按其标准范围适用于该区域。</w:t>
      </w:r>
    </w:p>
    <w:p>
      <w:pPr>
        <w:rPr>
          <w:rFonts w:ascii="Arial" w:hAnsi="Arial"/>
          <w:sz w:val="20"/>
        </w:rPr>
      </w:pPr>
      <w:r>
        <w:rPr>
          <w:rFonts w:ascii="Arial" w:hAnsi="Arial"/>
          <w:sz w:val="20"/>
          <w:color w:val="333333"/>
        </w:rPr>
        <w:t>基础设施层面，腾讯云已于 2025 年 2 月在沙特利雅得（Riyadh）开设中东区域，含 2 个可用区，全球类合规资质（ISO/IEC 27001、ISO/IEC 27017、ISO/IEC 27018、CSA STAR、SOC 2、PCI DSS 等）按其标准范围适用于该区域。</w:t>
      </w:r>
    </w:p>
    <w:p w14:paraId="461FB940" w14:textId="77777777" w:rsidR="00BE3988" w:rsidRPr="00BE3988" w:rsidRDefault="00BE3988" w:rsidP="00BE3988">
      <w:pPr>
        <w:numPr>
          <w:ilvl w:val="1"/>
          <w:numId w:val="6"/>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拉美：LGPD 在腾讯云 Privacy White Paper 与对外内容中作为客户须遵循的法规被引用，并非腾讯云持有的第三方认证。基础设施层面，腾讯云在巴西圣保罗（São Paulo）设有南美区域，含 1 个可用区，全球类合规资质（ISO/IEC 27001、ISO/IEC 27017、ISO/IEC 27018、CSA STAR、SOC 2、PCI DSS 等）按其标准范围适用于该区域。</w:t>
      </w:r>
    </w:p>
    <w:p>
      <w:pPr>
        <w:rPr>
          <w:rFonts w:ascii="Arial" w:hAnsi="Arial"/>
          <w:sz w:val="20"/>
        </w:rPr>
      </w:pPr>
      <w:r>
        <w:rPr>
          <w:rFonts w:ascii="Arial" w:hAnsi="Arial"/>
          <w:sz w:val="20"/>
          <w:color w:val="333333"/>
        </w:rPr>
        <w:t>LGPD 在腾讯云 Privacy White Paper 与对外内容中作为客户须遵循的法规被引用，并非腾讯云持有的第三方认证。基础设施层面，腾讯云在巴西圣保罗（São Paulo）设有南美区域，含 1 个可用区，全球类合规资质（ISO/IEC 27001、ISO/IEC 27017、ISO/IEC 27018、CSA STAR、SOC 2、PCI DSS 等）按其标准范围适用于该区域。</w:t>
      </w:r>
    </w:p>
    <w:p w14:paraId="47CB50EB" w14:textId="082DE8D2" w:rsidR="00BE3988" w:rsidRPr="00BE3988" w:rsidRDefault="00BE3988" w:rsidP="00BE3988">
      <w:pPr>
        <w:numPr>
          <w:ilvl w:val="0"/>
          <w:numId w:val="6"/>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动态应对：</w:t>
      </w:r>
      <w:r w:rsidRPr="00BE3988">
        <w:rPr>
          <w:rFonts w:ascii="Microsoft YaHei" w:eastAsia="Microsoft YaHei" w:hAnsi="Microsoft YaHei"/>
          <w:sz w:val="20"/>
          <w:szCs w:val="20"/>
        </w:rPr>
        <w:br/>
        <w:t>当目标市场法规更新时（如：GDPR修订、中国数据出境新规），贵司的应对流程是什么？</w:t>
      </w:r>
    </w:p>
    <w:p w14:paraId="4883521D" w14:textId="13275F83" w:rsidR="00BE3988" w:rsidRPr="00BE3988" w:rsidRDefault="00BE3988" w:rsidP="00BE3988">
      <w:pPr>
        <w:numPr>
          <w:ilvl w:val="0"/>
          <w:numId w:val="6"/>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客户价值：</w:t>
      </w:r>
      <w:r w:rsidRPr="00BE3988">
        <w:rPr>
          <w:rFonts w:ascii="Microsoft YaHei" w:eastAsia="Microsoft YaHei" w:hAnsi="Microsoft YaHei"/>
          <w:sz w:val="20"/>
          <w:szCs w:val="20"/>
        </w:rPr>
        <w:br/>
        <w:t>贵司如何帮助客户降低合规风险？请提供具体服务内容（如：合规咨询、数据加密方案）</w:t>
      </w:r>
    </w:p>
    <w:p>
      <w:pPr>
        <w:rPr>
          <w:rFonts w:ascii="Arial" w:hAnsi="Arial"/>
          <w:sz w:val="20"/>
        </w:rPr>
      </w:pPr>
      <w:r>
        <w:rPr>
          <w:rFonts w:ascii="Arial" w:hAnsi="Arial"/>
          <w:sz w:val="20"/>
          <w:color w:val="333333"/>
        </w:rPr>
        <w:t>腾讯云通过以下八项服务，系统性帮助出海客户降低合规风险。</w:t>
      </w:r>
    </w:p>
    <w:p w14:paraId="600A1009" w14:textId="482E4D10" w:rsidR="00BE3988" w:rsidRPr="00BE3988" w:rsidRDefault="00EF11D8" w:rsidP="00BE3988">
      <w:pPr>
        <w:rPr>
          <w:rFonts w:ascii="Microsoft YaHei" w:eastAsia="Microsoft YaHei" w:hAnsi="Microsoft YaHei"/>
          <w:b/>
          <w:bCs/>
          <w:sz w:val="20"/>
          <w:szCs w:val="20"/>
        </w:rPr>
        <w:shd w:val="clear" w:color="auto" w:fill="FFF2CC"/>
      </w:pPr>
      <w:r w:rsidRPr="00EF11D8">
        <w:rPr>
          <w:rFonts w:ascii="Microsoft YaHei" w:eastAsia="Microsoft YaHei" w:hAnsi="Microsoft YaHei" w:cs="Segoe UI Emoji"/>
          <w:b/>
          <w:bCs/>
          <w:sz w:val="20"/>
          <w:szCs w:val="20"/>
        </w:rPr>
        <w:t>S</w:t>
      </w:r>
      <w:r w:rsidRPr="00EF11D8">
        <w:rPr>
          <w:rFonts w:ascii="Microsoft YaHei" w:eastAsia="Microsoft YaHei" w:hAnsi="Microsoft YaHei" w:cs="Segoe UI Emoji" w:hint="eastAsia"/>
          <w:b/>
          <w:bCs/>
          <w:sz w:val="20"/>
          <w:szCs w:val="20"/>
        </w:rPr>
        <w:t xml:space="preserve">ection 6 </w:t>
      </w:r>
      <w:r w:rsidR="00BE3988" w:rsidRPr="00BE3988">
        <w:rPr>
          <w:rFonts w:ascii="Microsoft YaHei" w:eastAsia="Microsoft YaHei" w:hAnsi="Microsoft YaHei"/>
          <w:b/>
          <w:bCs/>
          <w:sz w:val="20"/>
          <w:szCs w:val="20"/>
        </w:rPr>
        <w:t>全球垂直解决方案能力 (Global Vertical Solution capabilities)</w:t>
      </w:r>
    </w:p>
    <w:p w14:paraId="7D1610AB" w14:textId="77777777" w:rsidR="00BE3988" w:rsidRPr="00BE3988" w:rsidRDefault="00BE3988" w:rsidP="00BE3988">
      <w:pPr>
        <w:numPr>
          <w:ilvl w:val="0"/>
          <w:numId w:val="8"/>
        </w:numPr>
        <w:rPr>
          <w:rFonts w:ascii="Microsoft YaHei" w:eastAsia="Microsoft YaHei" w:hAnsi="Microsoft YaHei"/>
          <w:sz w:val="20"/>
          <w:szCs w:val="20"/>
        </w:rPr>
      </w:pPr>
      <w:r w:rsidRPr="00BE3988">
        <w:rPr>
          <w:rFonts w:ascii="Microsoft YaHei" w:eastAsia="Microsoft YaHei" w:hAnsi="Microsoft YaHei"/>
          <w:sz w:val="20"/>
          <w:szCs w:val="20"/>
        </w:rPr>
        <w:t>行业深度：</w:t>
      </w:r>
      <w:r w:rsidRPr="00BE3988">
        <w:rPr>
          <w:rFonts w:ascii="Microsoft YaHei" w:eastAsia="Microsoft YaHei" w:hAnsi="Microsoft YaHei"/>
          <w:sz w:val="20"/>
          <w:szCs w:val="20"/>
        </w:rPr>
        <w:br/>
        <w:t>贵司在以下行业提供哪些场景化解决方案？（请勾选并补充说明）</w:t>
      </w:r>
    </w:p>
    <w:p w14:paraId="528A636F" w14:textId="77777777" w:rsidR="00BE3988" w:rsidRPr="00BE3988" w:rsidRDefault="00BE3988" w:rsidP="00BE3988">
      <w:pPr>
        <w:numPr>
          <w:ilvl w:val="1"/>
          <w:numId w:val="8"/>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电商出海：☑ 本地化支付 ☑ 多语言支持 ☑ 请补充：（详见下文）</w:t>
      </w:r>
    </w:p>
    <w:p w14:paraId="22158825" w14:textId="77777777" w:rsidR="00BE3988" w:rsidRPr="00BE3988" w:rsidRDefault="00BE3988" w:rsidP="00BE3988">
      <w:pPr>
        <w:numPr>
          <w:ilvl w:val="1"/>
          <w:numId w:val="8"/>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游戏出海：☑ 低延迟架构 ☑ 本地化运营 ☑ 请补充：（详见下文）</w:t>
      </w:r>
    </w:p>
    <w:p w14:paraId="2F14BFB8" w14:textId="77777777" w:rsidR="00BE3988" w:rsidRPr="00BE3988" w:rsidRDefault="00BE3988" w:rsidP="00BE3988">
      <w:pPr>
        <w:numPr>
          <w:ilvl w:val="1"/>
          <w:numId w:val="8"/>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金融出海：☑ 合规风控 ☑ 跨境支付 ☑ 请补充：（详见下文）</w:t>
      </w:r>
    </w:p>
    <w:p>
      <w:pPr>
        <w:rPr>
          <w:rFonts w:ascii="Arial" w:hAnsi="Arial"/>
          <w:sz w:val="20"/>
        </w:rPr>
      </w:pPr>
      <w:r>
        <w:rPr>
          <w:rFonts w:ascii="Arial" w:hAnsi="Arial"/>
          <w:sz w:val="20"/>
          <w:color w:val="333333"/>
        </w:rPr>
        <w:t>腾讯云国际金融客户已覆盖 20 个国家与地区、超 10,000 家金融客户、近 400 家海外客户，过去 3 年保持高双位数同比增长。底层栈以 TDSQL 金融级强一致、分布式横向扩展与跨地域容灾为核心，搭配 CDC / CDZ / TCE 基础设施、WAF / Anti-DDoS / CWP / KMS 安全、TSF / API Gateway / TKE 微服务、人脸识别 / OCR / 腾讯云 TI 平台 AI、移动金融通道与 TBDS 业务数据栈，构成完整金融云解决方案矩阵。</w:t>
      </w:r>
    </w:p>
    <w:p>
      <w:pPr>
        <w:rPr>
          <w:rFonts w:ascii="Arial" w:hAnsi="Arial"/>
          <w:sz w:val="20"/>
        </w:rPr>
      </w:pPr>
      <w:r>
        <w:rPr>
          <w:rFonts w:ascii="Arial" w:hAnsi="Arial"/>
          <w:sz w:val="20"/>
          <w:color w:val="333333"/>
        </w:rPr>
        <w:t>风控侧，腾讯云天御于 2025 年 5 月 28 日发布海外交易风控解决方案，以"AI 动态风控 + 全球情报中枢"双引擎为核心，由智能人机验证、设备安全识别、分层分级筛查三层防护构成，黑灰产识别准确率 99.5%，合规适配效率提升 70%。落地成果上，某自营电商接入 4 个月内欺诈率由 0.9% 降至 0.25%、支付成功率由 85% 提升至 89%；某跨境电商在介入后 3 个月内将拒付率由 1%+ 降至 0.25% 以下，拦截团伙攻击 10+ 次、欺诈交易 2,000+ 笔，规避损失超 8 万美元。eKYC 人脸识别方案与 AI x Identity 反深度伪造能力在 2025 年香港金融科技周面向金融机构演示。</w:t>
      </w:r>
    </w:p>
    <w:p>
      <w:pPr>
        <w:rPr>
          <w:rFonts w:ascii="Arial" w:hAnsi="Arial"/>
          <w:sz w:val="20"/>
        </w:rPr>
      </w:pPr>
      <w:r>
        <w:rPr>
          <w:rFonts w:ascii="Arial" w:hAnsi="Arial"/>
          <w:sz w:val="20"/>
          <w:color w:val="333333"/>
        </w:rPr>
        <w:t>跨境侧采用诚实定位：腾讯云不直接以本地支付作为产品 SKU，而是通过两条路径覆盖客户场景。一是腾讯集团生态，Weixin Pay、WeChat Pay HK、TenPay Global 在 2025 香港金融科技周展示跨境支付创新；二是腾讯云作为基础设施赋能的金融 ISV 伙伴，威富通基于腾讯云为中银香港、中东 Tiqmo 等 200+ 海外金融机构提供支付与数字钱包服务，日均处理超 4,000 万笔交易。最具代表性的跨境出海客户是土耳其金融科技公司 iyzico——腾讯云为其在欧洲构建首个云业务平台，基于高可用合规架构支撑虚拟支付方案在欧盟范围拓展，目前稳定承载 18.5 万+ 商户的交易处理。香港客户阵容上，腾讯云与富途证券、富融银行、天星银行、AIA、中银香港深度合作（Fusion Bank 15 小时完成下一代核心银行系统迁移、Airstar Bank 全面上云）；这部分属于客户侧合规背书，平台层面腾讯云不主张香港金融行业专项资质，平台级合规由 OSPAR（新加坡 ABS / MAS 对齐）、MTCS L3、KISMS、ISO 27701（全球首张云）、CISPE（欧洲）、PCI DSS L1、SOC1/2/3、CSA STAR 金牌等国际标准支撑。</w:t>
      </w:r>
    </w:p>
    <w:p w14:paraId="41A70432" w14:textId="2476576E" w:rsidR="00BE3988" w:rsidRPr="00BE3988" w:rsidRDefault="00BE3988" w:rsidP="00BE3988">
      <w:pPr>
        <w:numPr>
          <w:ilvl w:val="0"/>
          <w:numId w:val="8"/>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开箱即用：</w:t>
      </w:r>
      <w:r w:rsidRPr="00BE3988">
        <w:rPr>
          <w:rFonts w:ascii="Microsoft YaHei" w:eastAsia="Microsoft YaHei" w:hAnsi="Microsoft YaHei"/>
          <w:sz w:val="20"/>
          <w:szCs w:val="20"/>
        </w:rPr>
        <w:br/>
        <w:t>请描述一个"开箱即用"的行业解决方案（包含：业务场景、核心功能、客户收益）</w:t>
      </w:r>
    </w:p>
    <w:p>
      <w:pPr>
        <w:rPr>
          <w:rFonts w:ascii="Arial" w:hAnsi="Arial"/>
          <w:sz w:val="20"/>
        </w:rPr>
      </w:pPr>
      <w:r>
        <w:rPr>
          <w:rFonts w:ascii="Arial" w:hAnsi="Arial"/>
          <w:sz w:val="20"/>
          <w:color w:val="333333"/>
        </w:rPr>
        <w:t>我们把腾讯云游戏解决方案作为"out-of-the-box" industry solution ，举例如下：</w:t>
      </w:r>
    </w:p>
    <w:p>
      <w:pPr>
        <w:rPr>
          <w:rFonts w:ascii="Arial" w:hAnsi="Arial"/>
          <w:sz w:val="20"/>
        </w:rPr>
      </w:pPr>
      <w:r>
        <w:rPr>
          <w:rFonts w:ascii="Arial" w:hAnsi="Arial"/>
          <w:sz w:val="20"/>
          <w:color w:val="333333"/>
        </w:rPr>
        <w:t>业务场景</w:t>
      </w:r>
    </w:p>
    <w:p>
      <w:pPr>
        <w:rPr>
          <w:rFonts w:ascii="Arial" w:hAnsi="Arial"/>
          <w:sz w:val="20"/>
        </w:rPr>
        <w:shd w:val="clear" w:color="auto" w:fill="FFF2CC"/>
      </w:pPr>
      <w:r>
        <w:rPr>
          <w:rFonts w:ascii="Arial" w:hAnsi="Arial"/>
          <w:sz w:val="20"/>
          <w:color w:val="333333"/>
        </w:rPr>
        <w:t>中国游戏厂商出海面临三重挑战：海外网络环境复杂、需在跨区域提供低延迟稳定连接；上线与版本期高并发与突发流量需弹性伸缩；DDoS、外挂、跨境支付与社交合规等运营风险显著。腾讯云游戏解决方案面向出海游戏开发与运营全生命周期，从基础设施、网络加速、安全防护、游戏数据层到游戏内社交（IM 与语音）整套打包，开箱即用，适用于 MMORPG、FPS/MOBA、SLG、休闲竞技等主流类型，覆盖分布式与中心化两种部署架构。GDC 2025 期间，国际研究机构 Omdia 在《市场追踪：2025 亚太及大洋洲游戏云平台》报告中将腾讯云列入"领导者"象限（与 AWS、Microsoft、Google 同列），并在游戏服务器、多玩家服务、区域覆盖范围三项给出最高等级 Advanced 评级；IDC《中国游戏云市场跟踪研究 2024H2》同期评定腾讯游戏云用量规模连续四年全国第一、收入增速在国内头部云厂商中连续两年第一。</w:t>
      </w:r>
    </w:p>
    <w:p>
      <w:pPr>
        <w:rPr>
          <w:rFonts w:ascii="Arial" w:hAnsi="Arial"/>
          <w:sz w:val="20"/>
        </w:rPr>
        <w:shd w:val="clear" w:color="auto" w:fill="FFF2CC"/>
      </w:pPr>
      <w:r>
        <w:rPr>
          <w:rFonts w:ascii="Arial" w:hAnsi="Arial"/>
          <w:sz w:val="20"/>
          <w:color w:val="333333"/>
        </w:rPr>
        <w:t>核心功能（开箱即用打包）</w:t>
      </w:r>
    </w:p>
    <w:p>
      <w:pPr>
        <w:rPr>
          <w:rFonts w:ascii="Arial" w:hAnsi="Arial"/>
          <w:sz w:val="20"/>
        </w:rPr>
        <w:shd w:val="clear" w:color="auto" w:fill="FFF2CC"/>
      </w:pPr>
      <w:r>
        <w:rPr>
          <w:rFonts w:ascii="Arial" w:hAnsi="Arial"/>
          <w:sz w:val="20"/>
          <w:color w:val="333333"/>
        </w:rPr>
        <w:t>1. 全球弹性基础设施：22 个地区、64 个可用区、3200+ 全球加速节点、400T 带宽储备。CVM 提供多人服务器/匹配/后端服务的高性能算力；Lighthouse 提供开箱即用的轻量级云服务器；COS 提供 11 个 9（99.999999999%）持久度的对象存储承载游戏资源、补丁与 UGC；CLB 提供四层/七层负载均衡与抗 SYN Flood/DDoS 能力；AIA（Anycast 互联网加速）通过 Anycast EIP 引导玩家就近接入，降低跨境时延、丢包与抖动。</w:t>
      </w:r>
    </w:p>
    <w:p>
      <w:pPr>
        <w:rPr>
          <w:rFonts w:ascii="Arial" w:hAnsi="Arial"/>
          <w:sz w:val="20"/>
        </w:rPr>
      </w:pPr>
      <w:r>
        <w:rPr>
          <w:rFonts w:ascii="Arial" w:hAnsi="Arial"/>
          <w:sz w:val="20"/>
          <w:color w:val="333333"/>
        </w:rPr>
        <w:t>2. EdgeOne 一体化边缘安全与加速：单平台提供静态/动态加速、Layer4 TCP/UDP 加速、DDoS 与 CC 防护、Web 防护、Bot 管理；全球 70+ 区域、3200+ PoP、200 Tbps 储备带宽、最高 15 Tbps 全球防御容量。</w:t>
      </w:r>
    </w:p>
    <w:p>
      <w:pPr>
        <w:rPr>
          <w:rFonts w:ascii="Arial" w:hAnsi="Arial"/>
          <w:sz w:val="20"/>
        </w:rPr>
      </w:pPr>
      <w:r>
        <w:rPr>
          <w:rFonts w:ascii="Arial" w:hAnsi="Arial"/>
          <w:sz w:val="20"/>
          <w:color w:val="333333"/>
        </w:rPr>
        <w:t>3. GME（Game Multimedia Engine）游戏内实时语音：一站式游戏语音方案，覆盖语音聊天、语音消息、语音转文字（120 种语言）；50% 丢包与 1000ms 抖动下仍可流畅通话；支持 3D 空间音效（HRTF + 距离 EQ 补偿）；唯一进入 PlayStation 与 Nintendo Switch 第三方开发工具列表的中国语音工具，兼容 PS5/PS4/Xbox/Switch 与 macOS/Windows/iOS/Android 全平台。</w:t>
      </w:r>
    </w:p>
    <w:p>
      <w:pPr>
        <w:rPr>
          <w:rFonts w:ascii="Arial" w:hAnsi="Arial"/>
          <w:sz w:val="20"/>
        </w:rPr>
      </w:pPr>
      <w:r>
        <w:rPr>
          <w:rFonts w:ascii="Arial" w:hAnsi="Arial"/>
          <w:sz w:val="20"/>
          <w:color w:val="333333"/>
        </w:rPr>
        <w:t>4. Chat（即时通讯 IM）游戏内社交：提供大厅、组队、全服等多种聊天室类型，支持用户资料与关系链；节点遍布亚太、北美、欧洲、中东、非洲、拉美，就近接入。</w:t>
      </w:r>
    </w:p>
    <w:p>
      <w:pPr>
        <w:rPr>
          <w:rFonts w:ascii="Arial" w:hAnsi="Arial"/>
          <w:sz w:val="20"/>
        </w:rPr>
      </w:pPr>
      <w:r>
        <w:rPr>
          <w:rFonts w:ascii="Arial" w:hAnsi="Arial"/>
          <w:sz w:val="20"/>
          <w:color w:val="333333"/>
        </w:rPr>
        <w:t>5. ACE（Anti-Cheat Expert）反外挂：腾讯云移动安全团队与游戏安全团队联合产品，2-3 个 API 即可集成；7×24 小时多维度防护，已为含《王者荣耀》《火影忍者》等百余款游戏的 7 亿+ 玩家提供安全服务；同时承担 AI/UGC 内容审核、多语言适配与地域合规职责，支撑出海上线。</w:t>
      </w:r>
    </w:p>
    <w:p>
      <w:pPr>
        <w:rPr>
          <w:rFonts w:ascii="Arial" w:hAnsi="Arial"/>
          <w:sz w:val="20"/>
        </w:rPr>
      </w:pPr>
      <w:r>
        <w:rPr>
          <w:rFonts w:ascii="Arial" w:hAnsi="Arial"/>
          <w:sz w:val="20"/>
          <w:color w:val="333333"/>
        </w:rPr>
        <w:t>6. 游戏专用数据层：TcaplusDB 分布式 NoSQL 数据库（PB 级游戏数据存储）+ Tendis（兼容 Redis 协议的混合存储版，承载运营活动高并发缓存），均已应用于《王者荣耀》《和平精英》等头部产品。</w:t>
      </w:r>
    </w:p>
    <w:p>
      <w:pPr>
        <w:rPr>
          <w:rFonts w:ascii="Arial" w:hAnsi="Arial"/>
          <w:sz w:val="20"/>
        </w:rPr>
      </w:pPr>
      <w:r>
        <w:rPr>
          <w:rFonts w:ascii="Arial" w:hAnsi="Arial"/>
          <w:sz w:val="20"/>
          <w:color w:val="333333"/>
        </w:rPr>
        <w:t>7. GAAP（Global Application Acceleration Platform）全球应用加速：支持多区域统一域名接入，通过智能路由与高速隧道实现"全球一服"，保障跨区域玩家公平竞技体验。</w:t>
      </w:r>
    </w:p>
    <w:p>
      <w:pPr>
        <w:rPr>
          <w:rFonts w:ascii="Arial" w:hAnsi="Arial"/>
          <w:sz w:val="20"/>
        </w:rPr>
      </w:pPr>
      <w:r>
        <w:rPr>
          <w:rFonts w:ascii="Arial" w:hAnsi="Arial"/>
          <w:sz w:val="20"/>
          <w:color w:val="333333"/>
        </w:rPr>
        <w:t>8. 战斗服托管（Battle-Server Hosting）：托管战斗房间分配与销毁逻辑，按量计费，相比自建可节省 35% 战斗服算力成本。</w:t>
      </w:r>
    </w:p>
    <w:p>
      <w:pPr>
        <w:rPr>
          <w:rFonts w:ascii="Arial" w:hAnsi="Arial"/>
          <w:sz w:val="20"/>
        </w:rPr>
      </w:pPr>
      <w:r>
        <w:rPr>
          <w:rFonts w:ascii="Arial" w:hAnsi="Arial"/>
          <w:sz w:val="20"/>
          <w:color w:val="333333"/>
        </w:rPr>
        <w:t>可选 AI 增强：GiiNEX 游戏 AI 引擎覆盖游戏宣发、游戏内容生成与 UGC 多个环节；混元大模型（含 Hunyuan-large-role 角色扮演专用模型与 Turbo S 快思考模型）+ 向量数据库 + ACE 可组合为"智能 NPC"方案，已在 BUD（碧优蒂的世界）AI 赛季中规模化落地。</w:t>
      </w:r>
    </w:p>
    <w:p>
      <w:pPr>
        <w:rPr>
          <w:rFonts w:ascii="Arial" w:hAnsi="Arial"/>
          <w:sz w:val="20"/>
        </w:rPr>
      </w:pPr>
      <w:r>
        <w:rPr>
          <w:rFonts w:ascii="Arial" w:hAnsi="Arial"/>
          <w:sz w:val="20"/>
          <w:color w:val="333333"/>
        </w:rPr>
        <w:t>客户收益（公开案例）</w:t>
      </w:r>
    </w:p>
    <w:p>
      <w:pPr>
        <w:rPr>
          <w:rFonts w:ascii="Arial" w:hAnsi="Arial"/>
          <w:sz w:val="20"/>
        </w:rPr>
      </w:pPr>
      <w:r>
        <w:rPr>
          <w:rFonts w:ascii="Arial" w:hAnsi="Arial"/>
          <w:sz w:val="20"/>
          <w:color w:val="333333"/>
        </w:rPr>
        <w:t>- PUBG Mobile：依托腾讯云全球部署、加速与安全防护实现"全球一服"，全球玩家共享流畅、公平的竞技体验。</w:t>
      </w:r>
    </w:p>
    <w:p>
      <w:pPr>
        <w:rPr>
          <w:rFonts w:ascii="Arial" w:hAnsi="Arial"/>
          <w:sz w:val="20"/>
        </w:rPr>
      </w:pPr>
      <w:r>
        <w:rPr>
          <w:rFonts w:ascii="Arial" w:hAnsi="Arial"/>
          <w:sz w:val="20"/>
          <w:color w:val="333333"/>
        </w:rPr>
        <w:t>- Clash Royale：通过 GAAP 让全球玩家以最低延迟直连位于美国的源服务器。</w:t>
      </w:r>
    </w:p>
    <w:p>
      <w:pPr>
        <w:rPr>
          <w:rFonts w:ascii="Arial" w:hAnsi="Arial"/>
          <w:sz w:val="20"/>
        </w:rPr>
      </w:pPr>
      <w:r>
        <w:rPr>
          <w:rFonts w:ascii="Arial" w:hAnsi="Arial"/>
          <w:sz w:val="20"/>
          <w:color w:val="333333"/>
        </w:rPr>
        <w:t>- Habby（Archero）：使用 Chat 提供文本/表情/自定义消息等多类型游戏内消息能力；该游戏曾在 46 个国家/地区的 App Store 下载榜进入前 10。</w:t>
      </w:r>
    </w:p>
    <w:p>
      <w:pPr>
        <w:rPr>
          <w:rFonts w:ascii="Arial" w:hAnsi="Arial"/>
          <w:sz w:val="20"/>
        </w:rPr>
      </w:pPr>
      <w:r>
        <w:rPr>
          <w:rFonts w:ascii="Arial" w:hAnsi="Arial"/>
          <w:sz w:val="20"/>
          <w:color w:val="333333"/>
        </w:rPr>
        <w:t>- Dark and Darker：集成 GME 一体化语音 SDK 与 3D 空间音效，玩家可感知队友方位，沉浸感显著提升。</w:t>
      </w:r>
    </w:p>
    <w:p>
      <w:pPr>
        <w:rPr>
          <w:rFonts w:ascii="Arial" w:hAnsi="Arial"/>
          <w:sz w:val="20"/>
        </w:rPr>
      </w:pPr>
      <w:r>
        <w:rPr>
          <w:rFonts w:ascii="Arial" w:hAnsi="Arial"/>
          <w:sz w:val="20"/>
          <w:color w:val="333333"/>
        </w:rPr>
        <w:t>- Kabam：通过 GAAP 高速通道为全球玩家提供稳定接入体验。</w:t>
      </w:r>
    </w:p>
    <w:p>
      <w:pPr>
        <w:rPr>
          <w:rFonts w:ascii="Arial" w:hAnsi="Arial"/>
          <w:sz w:val="20"/>
        </w:rPr>
      </w:pPr>
      <w:r>
        <w:rPr>
          <w:rFonts w:ascii="Arial" w:hAnsi="Arial"/>
          <w:sz w:val="20"/>
          <w:color w:val="333333"/>
        </w:rPr>
        <w:t>- 库洛游戏《鸣潮》：上线期间在全球六大区域实现分钟级服务器部署，弹性扩缩容与智能流量调度承载 3200 万预约用户平稳开服。</w:t>
      </w:r>
    </w:p>
    <w:p>
      <w:pPr>
        <w:rPr>
          <w:rFonts w:ascii="Arial" w:hAnsi="Arial"/>
          <w:sz w:val="20"/>
        </w:rPr>
      </w:pPr>
      <w:r>
        <w:rPr>
          <w:rFonts w:ascii="Arial" w:hAnsi="Arial"/>
          <w:sz w:val="20"/>
          <w:color w:val="333333"/>
        </w:rPr>
        <w:t>- 《重返未来：1999》：通过 EdgeOne 加速实时语音与战斗指令同步，搭配 ACE 防御外挂与脚本攻击，首发当天登顶 iOS 免费榜。</w:t>
      </w:r>
    </w:p>
    <w:p>
      <w:pPr>
        <w:rPr>
          <w:rFonts w:ascii="Arial" w:hAnsi="Arial"/>
          <w:sz w:val="20"/>
        </w:rPr>
      </w:pPr>
      <w:r>
        <w:rPr>
          <w:rFonts w:ascii="Arial" w:hAnsi="Arial"/>
          <w:sz w:val="20"/>
          <w:color w:val="333333"/>
        </w:rPr>
        <w:t>- 《Honor of Kings》巴西市场：通过 EdgeOne 构建本地加速网络，应对 LATAM 网络复杂与时延不稳，玩家在登录、支付、社交互动等关键路径获得稳定体验。</w:t>
      </w:r>
    </w:p>
    <w:p>
      <w:pPr>
        <w:rPr>
          <w:rFonts w:ascii="Arial" w:hAnsi="Arial"/>
          <w:sz w:val="20"/>
        </w:rPr>
      </w:pPr>
      <w:r>
        <w:rPr>
          <w:rFonts w:ascii="Arial" w:hAnsi="Arial"/>
          <w:sz w:val="20"/>
          <w:color w:val="333333"/>
        </w:rPr>
        <w:t>- BUD（碧优蒂的世界）：基于混元大模型 + 向量数据库 + ACE 打造"智能生命体"NPC 体验，并由 ACE 提供内容审核、多语言适配与地域合规支持，覆盖多个海外国家与地区。</w:t>
      </w:r>
    </w:p>
    <w:p>
      <w:pPr>
        <w:rPr>
          <w:rFonts w:ascii="Arial" w:hAnsi="Arial"/>
          <w:sz w:val="20"/>
        </w:rPr>
      </w:pPr>
      <w:r>
        <w:rPr>
          <w:rFonts w:ascii="Arial" w:hAnsi="Arial"/>
          <w:sz w:val="20"/>
          <w:color w:val="333333"/>
        </w:rPr>
        <w:t>- 量化收益：战斗服托管帮助厂商节省 35% 战斗服算力成本。</w:t>
      </w:r>
    </w:p>
    <w:p w14:paraId="4C2F98B1" w14:textId="772311B6" w:rsidR="00BE3988" w:rsidRPr="00BE3988" w:rsidRDefault="00EF11D8" w:rsidP="00BE3988">
      <w:pPr>
        <w:rPr>
          <w:rFonts w:ascii="Microsoft YaHei" w:eastAsia="Microsoft YaHei" w:hAnsi="Microsoft YaHei"/>
          <w:b/>
          <w:bCs/>
          <w:sz w:val="20"/>
          <w:szCs w:val="20"/>
        </w:rPr>
        <w:shd w:val="clear" w:color="auto" w:fill="FFF2CC"/>
      </w:pPr>
      <w:r w:rsidRPr="00EF11D8">
        <w:rPr>
          <w:rFonts w:ascii="Microsoft YaHei" w:eastAsia="Microsoft YaHei" w:hAnsi="Microsoft YaHei" w:cs="Segoe UI Emoji"/>
          <w:b/>
          <w:bCs/>
          <w:sz w:val="20"/>
          <w:szCs w:val="20"/>
        </w:rPr>
        <w:t>S</w:t>
      </w:r>
      <w:r w:rsidRPr="00EF11D8">
        <w:rPr>
          <w:rFonts w:ascii="Microsoft YaHei" w:eastAsia="Microsoft YaHei" w:hAnsi="Microsoft YaHei" w:cs="Segoe UI Emoji" w:hint="eastAsia"/>
          <w:b/>
          <w:bCs/>
          <w:sz w:val="20"/>
          <w:szCs w:val="20"/>
        </w:rPr>
        <w:t xml:space="preserve">ection 7 </w:t>
      </w:r>
      <w:r w:rsidR="00BE3988" w:rsidRPr="00BE3988">
        <w:rPr>
          <w:rFonts w:ascii="Microsoft YaHei" w:eastAsia="Microsoft YaHei" w:hAnsi="Microsoft YaHei"/>
          <w:b/>
          <w:bCs/>
          <w:sz w:val="20"/>
          <w:szCs w:val="20"/>
        </w:rPr>
        <w:t>开放性问题</w:t>
      </w:r>
    </w:p>
    <w:p w14:paraId="2C61B852" w14:textId="616A1F83" w:rsidR="00BE3988" w:rsidRPr="00BE3988" w:rsidRDefault="00BE3988" w:rsidP="00BE3988">
      <w:pPr>
        <w:numPr>
          <w:ilvl w:val="0"/>
          <w:numId w:val="9"/>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未来规划：</w:t>
      </w:r>
      <w:r w:rsidRPr="00BE3988">
        <w:rPr>
          <w:rFonts w:ascii="Microsoft YaHei" w:eastAsia="Microsoft YaHei" w:hAnsi="Microsoft YaHei"/>
          <w:sz w:val="20"/>
          <w:szCs w:val="20"/>
        </w:rPr>
        <w:br/>
        <w:t>针对"中企出海"需求，贵司未来12个月将重点提升哪些能力？</w:t>
      </w:r>
    </w:p>
    <w:p>
      <w:pPr>
        <w:rPr>
          <w:rFonts w:ascii="Arial" w:hAnsi="Arial"/>
          <w:sz w:val="20"/>
        </w:rPr>
      </w:pPr>
      <w:r>
        <w:rPr>
          <w:rFonts w:ascii="Arial" w:hAnsi="Arial"/>
          <w:sz w:val="20"/>
          <w:color w:val="333333"/>
        </w:rPr>
        <w:t>腾讯云面向中国企业出海的未来 12 个月能力规划，沿用 2025 年全球数字生态大会公开披露的"基础设施 / 技术产品 / 服务能力"三支柱框架，并以 2025 年第四季度至 2026 年 4 月的公开发布节奏为锚点。以下四条主线均以已公开披露的承诺为限，未公开的具体节奏与认证目标待战略团队确认。</w:t>
      </w:r>
    </w:p>
    <w:p>
      <w:pPr>
        <w:rPr>
          <w:rFonts w:ascii="Arial" w:hAnsi="Arial"/>
          <w:sz w:val="20"/>
        </w:rPr>
      </w:pPr>
      <w:r>
        <w:rPr>
          <w:rFonts w:ascii="Arial" w:hAnsi="Arial"/>
          <w:sz w:val="20"/>
          <w:color w:val="333333"/>
        </w:rPr>
        <w:t>主题一：基础设施在出海主通道发力</w:t>
      </w:r>
    </w:p>
    <w:p>
      <w:pPr>
        <w:rPr>
          <w:rFonts w:ascii="Arial" w:hAnsi="Arial"/>
          <w:sz w:val="20"/>
        </w:rPr>
      </w:pPr>
      <w:r>
        <w:rPr>
          <w:rFonts w:ascii="Arial" w:hAnsi="Arial"/>
          <w:sz w:val="20"/>
          <w:color w:val="333333"/>
        </w:rPr>
        <w:t>腾讯云已公开承诺在沙特阿拉伯投资 1.5 亿美元，建设其首个中东数据中心，与 2025 年已上线的利雅得地域形成持续加深的中东布局。日本大阪第三座数据中心与新设大阪办公室已对外宣布，将延展腾讯云在日本的可用区到三个。欧洲方面，2026 年 3 月在世界移动通信大会上腾讯云正式宣布在德国法兰克福新增第三个可用区，新区计划于 2026 年第二季度正式上线服务。雅加达第三座数据中心已于 2025 年完成部署。截至 2025 年第四季度，腾讯云全球基础设施达到 22 个地域、64 个可用区、3200 余个全球加速节点与 400T 带宽储备，将作为接下来 12 个月加深部署的基线。</w:t>
      </w:r>
    </w:p>
    <w:p>
      <w:pPr>
        <w:rPr>
          <w:rFonts w:ascii="Arial" w:hAnsi="Arial"/>
          <w:sz w:val="20"/>
        </w:rPr>
      </w:pPr>
      <w:r>
        <w:rPr>
          <w:rFonts w:ascii="Arial" w:hAnsi="Arial"/>
          <w:sz w:val="20"/>
          <w:color w:val="333333"/>
        </w:rPr>
        <w:t>主题二：AI 出海产品矩阵从底层算力到上层智能体一体化推进</w:t>
      </w:r>
    </w:p>
    <w:p>
      <w:pPr>
        <w:rPr>
          <w:rFonts w:ascii="Arial" w:hAnsi="Arial"/>
          <w:sz w:val="20"/>
        </w:rPr>
      </w:pPr>
      <w:r>
        <w:rPr>
          <w:rFonts w:ascii="Arial" w:hAnsi="Arial"/>
          <w:sz w:val="20"/>
          <w:color w:val="333333"/>
        </w:rPr>
        <w:t>腾讯云已于 2026 年 3 月正式发布 Agent 产品全景图，覆盖底层 TokenHub 大模型服务平台、智能体开发平台 ADP、企业版 ClawPro、QClaw、办公助手 WorkBuddy、开发助手CodeBuddy等产品线。TokenHub MaaS 平台支持自研混元大模型与 DeepSeek、MiniMax、Kimi、GLM 等主流第三方模型；2026 年 4 月混元 Hy3 preview 接入 TokenHub，输入价格降至每百万 tokens 1.2 元。出海产品方面，2026 年 4 月 QClaw 海外版正式开启内测，已在美国、加拿大、新加坡、韩国上线，支持中、英、法、西、韩等多语言，并明确"更多地区正在陆续开放"；CodeBuddy 与智能体开发平台 ADP 国际版已对外开放；混元 3D 自 2025 年 11 月面向海外开放，已被德国软件公司 Maxon 集成进 Cinema 4D 桌面应用；2026 年 4 月 16 日混元 3D 世界模型 2.0（HY-World 2.0）正式发布并开源至 GitHub。2026 年 4 月 28 日企业级 Agent 能力进一步首发 ClawPro 专有云版、ADP 智能工作台、Agent Memory、Agent Storage 等多款产品，反映了既定的高频迭代节奏。</w:t>
      </w:r>
    </w:p>
    <w:p>
      <w:pPr>
        <w:rPr>
          <w:rFonts w:ascii="Arial" w:hAnsi="Arial"/>
          <w:sz w:val="20"/>
        </w:rPr>
      </w:pPr>
      <w:r>
        <w:rPr>
          <w:rFonts w:ascii="Arial" w:hAnsi="Arial"/>
          <w:sz w:val="20"/>
          <w:color w:val="333333"/>
        </w:rPr>
        <w:t>主题三：本地化服务网络与生态扩展</w:t>
      </w:r>
    </w:p>
    <w:p>
      <w:pPr>
        <w:rPr>
          <w:rFonts w:ascii="Arial" w:hAnsi="Arial"/>
          <w:sz w:val="20"/>
        </w:rPr>
      </w:pPr>
      <w:r>
        <w:rPr>
          <w:rFonts w:ascii="Arial" w:hAnsi="Arial"/>
          <w:sz w:val="20"/>
          <w:color w:val="333333"/>
        </w:rPr>
        <w:t>腾讯云在全球已设立 11 个区域办公室与 9 大技术支持中心，并部署超过 100 个全球技术支持触点，服务覆盖 30 余个行业、80 余个国家和地区。9 大技术支持中心覆盖雅加达、马尼拉、吉隆坡、新加坡、曼谷、东京、首尔、帕罗阿尔托、法兰克福，提供 24×7 本地化服务。生态层面，2026 年 4 月腾讯云正式发布"出海生态启航计划"，围绕出海权益、伙伴库与知识服务三大体系，整合跨境电商、通用 SaaS、出海文娱、在线支付、在线广告等全生态伙伴。腾讯云出海服务公众号自 2025 年初建立、保持高频内容更新，"腾云出海沙龙"自 2025 年 11 月起办了多次。</w:t>
      </w:r>
    </w:p>
    <w:p>
      <w:pPr>
        <w:rPr>
          <w:rFonts w:ascii="Arial" w:hAnsi="Arial"/>
          <w:sz w:val="20"/>
        </w:rPr>
      </w:pPr>
      <w:r>
        <w:rPr>
          <w:rFonts w:ascii="Arial" w:hAnsi="Arial"/>
          <w:sz w:val="20"/>
          <w:color w:val="333333"/>
        </w:rPr>
        <w:t>主题四：合规广度与本土化合规深度</w:t>
      </w:r>
    </w:p>
    <w:p>
      <w:pPr>
        <w:rPr>
          <w:rFonts w:ascii="Arial" w:hAnsi="Arial"/>
          <w:sz w:val="20"/>
        </w:rPr>
      </w:pPr>
      <w:r>
        <w:rPr>
          <w:rFonts w:ascii="Arial" w:hAnsi="Arial"/>
          <w:sz w:val="20"/>
          <w:color w:val="333333"/>
        </w:rPr>
        <w:t>腾讯云已累计获得 400 余项国内外权威认证，覆盖 GDPR、SOC、ISO 等 20 余个领域的全球主流标准，构成现有合规基线。腾讯高级法律顾问团队公开输出的海外 AI 合规指南，已涵盖欧盟数据本地化、跨境传输 SCC 标准合同、模型训练数据授权溯源、AI 生成内容水印与全流程审核等议题。面向接下来 12 个月，腾讯云对外表态将持续加大全球基础设施与 AI 技术投入：中东、拉美、欧洲特定区域的本地认证（如沙特 SAMA CCC、NCA ECC、CST CCC、巴西 LGPD 第三方评估、ANPD 等）</w:t>
      </w:r>
    </w:p>
    <w:p w14:paraId="73AE254C" w14:textId="4913863C" w:rsidR="00EF11D8" w:rsidRPr="00EF11D8" w:rsidRDefault="00BE3988" w:rsidP="00BE3988">
      <w:pPr>
        <w:numPr>
          <w:ilvl w:val="0"/>
          <w:numId w:val="9"/>
        </w:numPr>
        <w:rPr>
          <w:rFonts w:ascii="Microsoft YaHei" w:eastAsia="Microsoft YaHei" w:hAnsi="Microsoft YaHei"/>
          <w:sz w:val="20"/>
          <w:szCs w:val="20"/>
        </w:rPr>
        <w:shd w:val="clear" w:color="auto" w:fill="FFF2CC"/>
      </w:pPr>
      <w:r w:rsidRPr="00BE3988">
        <w:rPr>
          <w:rFonts w:ascii="Microsoft YaHei" w:eastAsia="Microsoft YaHei" w:hAnsi="Microsoft YaHei"/>
          <w:sz w:val="20"/>
          <w:szCs w:val="20"/>
        </w:rPr>
        <w:t>核心建议：</w:t>
      </w:r>
      <w:r w:rsidRPr="00BE3988">
        <w:rPr>
          <w:rFonts w:ascii="Microsoft YaHei" w:eastAsia="Microsoft YaHei" w:hAnsi="Microsoft YaHei"/>
          <w:sz w:val="20"/>
          <w:szCs w:val="20"/>
        </w:rPr>
        <w:br/>
        <w:t>您认为当前云服务商在服务中企出海时最需要改进的环节是什么？</w:t>
      </w:r>
    </w:p>
    <w:p>
      <w:pPr>
        <w:rPr>
          <w:rFonts w:ascii="Arial" w:hAnsi="Arial"/>
          <w:sz w:val="20"/>
        </w:rPr>
      </w:pPr>
      <w:r>
        <w:rPr>
          <w:rFonts w:ascii="Arial" w:hAnsi="Arial"/>
          <w:sz w:val="20"/>
          <w:color w:val="333333"/>
        </w:rPr>
        <w:t>最紧迫的行业级缺口，是全球数据主权与合规规则呈现"统一理念、碎片实践"的悖论——各市场在个人数据保护权利、企业责任等核心原则上已基本一致，但落到具体规则上却显著分化，目前还没有任何一家云厂商（包括我们）真正在平台层把这层复杂度抽象掉。腾讯高级法律顾问田展曾公开指出，全球已有 144 个国家拥有自己的数据保护法，企业出海必须默认每个目标市场都有合规要求；合规本身是一个动态且多维的过程，涉及牌照资质、数据本地化驻留、AI 监管、以及企业作为"数据控制者"还是"数据处理者"的不同法律责任。具体到主流目标市场，差异同样显著：美国采用分散式立法考验企业适应能力，欧盟 GDPR 在隐私层面要求严苛，印尼对跨境数据流动有明确限制，巴西要求金融数据本地存储，沙特、阿联酋、卡塔尔等中东市场各自的 PDPL 与本地化执法路径仍在快速演进。换言之，跨境数据流转目前不是一个平台开关，而是一组逐司法辖区谈判与配置的工程任务。</w:t>
      </w:r>
    </w:p>
    <w:p>
      <w:pPr>
        <w:rPr>
          <w:rFonts w:ascii="Arial" w:hAnsi="Arial"/>
          <w:sz w:val="20"/>
        </w:rPr>
      </w:pPr>
      <w:r>
        <w:rPr>
          <w:rFonts w:ascii="Arial" w:hAnsi="Arial"/>
          <w:sz w:val="20"/>
          <w:color w:val="333333"/>
        </w:rPr>
        <w:t>这个缺口在 AI 时代正在变宽，而不是变窄。全球 AI 监管趋严，数据合规、知识产权、市场准入正在成为出海的三大高危风险点，落到工程实操上又叠加了至少四层新约束：欧盟要求数据优先本地存储且把"远程访问"视同跨境传输（须签署 SCC 标准合同条款）、模型训练数据须确保授权溯源并规避盗版数据集、AI 生成内容须落实水印与标识并建立全流程审核机制、选用合规可控的本土模型以规避第三方模型在地域限制与商用授权上的不确定性。</w:t>
      </w:r>
    </w:p>
    <w:sectPr w:rsidR="006970CA" w:rsidRPr="00BE3988" w:rsidSect="00BE3988">
      <w:footerReference w:type="even" r:id="rId7"/>
      <w:footerReference w:type="default" r:id="rId8"/>
      <w:footerReference w:type="first" r:id="rId9"/>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1C16B" w14:textId="77777777" w:rsidR="00C82E77" w:rsidRDefault="00C82E77" w:rsidP="00A67505">
      <w:pPr>
        <w:spacing w:after="0" w:line="240" w:lineRule="auto"/>
      </w:pPr>
      <w:r>
        <w:separator/>
      </w:r>
    </w:p>
  </w:endnote>
  <w:endnote w:type="continuationSeparator" w:id="0">
    <w:p w14:paraId="7833EA6F" w14:textId="77777777" w:rsidR="00C82E77" w:rsidRDefault="00C82E77" w:rsidP="00A67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C334" w14:textId="1BD5D25D" w:rsidR="00A67505" w:rsidRDefault="00A67505">
    <w:pPr>
      <w:pStyle w:val="Footer"/>
    </w:pPr>
    <w:r>
      <w:rPr>
        <w:noProof/>
      </w:rPr>
      <mc:AlternateContent>
        <mc:Choice Requires="wps">
          <w:drawing>
            <wp:anchor distT="0" distB="0" distL="0" distR="0" simplePos="0" relativeHeight="251659264" behindDoc="0" locked="0" layoutInCell="1" allowOverlap="1" wp14:anchorId="74F3E83D" wp14:editId="799ACEB3">
              <wp:simplePos x="635" y="635"/>
              <wp:positionH relativeFrom="page">
                <wp:align>left</wp:align>
              </wp:positionH>
              <wp:positionV relativeFrom="page">
                <wp:align>bottom</wp:align>
              </wp:positionV>
              <wp:extent cx="2085975" cy="346075"/>
              <wp:effectExtent l="0" t="0" r="9525" b="0"/>
              <wp:wrapNone/>
              <wp:docPr id="536976388"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6075"/>
                      </a:xfrm>
                      <a:prstGeom prst="rect">
                        <a:avLst/>
                      </a:prstGeom>
                      <a:noFill/>
                      <a:ln>
                        <a:noFill/>
                      </a:ln>
                    </wps:spPr>
                    <wps:txbx>
                      <w:txbxContent>
                        <w:p w14:paraId="05901833" w14:textId="03FD0392" w:rsidR="00A67505" w:rsidRPr="00A67505" w:rsidRDefault="00A67505" w:rsidP="00A67505">
                          <w:pPr>
                            <w:spacing w:after="0"/>
                            <w:rPr>
                              <w:rFonts w:ascii="Rockwell" w:eastAsia="Rockwell" w:hAnsi="Rockwell" w:cs="Rockwell"/>
                              <w:noProof/>
                              <w:color w:val="0078D7"/>
                              <w:sz w:val="18"/>
                              <w:szCs w:val="18"/>
                            </w:rPr>
                          </w:pPr>
                          <w:r w:rsidRPr="00A67505">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F3E83D"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64.25pt;height:27.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" filled="f" stroked="f">
              <v:textbox style="mso-fit-shape-to-text:t" inset="20pt,0,0,15pt">
                <w:txbxContent>
                  <w:p w14:paraId="05901833" w14:textId="03FD0392" w:rsidR="00A67505" w:rsidRPr="00A67505" w:rsidRDefault="00A67505" w:rsidP="00A67505">
                    <w:pPr>
                      <w:spacing w:after="0"/>
                      <w:rPr>
                        <w:rFonts w:ascii="Rockwell" w:eastAsia="Rockwell" w:hAnsi="Rockwell" w:cs="Rockwell"/>
                        <w:noProof/>
                        <w:color w:val="0078D7"/>
                        <w:sz w:val="18"/>
                        <w:szCs w:val="18"/>
                      </w:rPr>
                    </w:pPr>
                    <w:r w:rsidRPr="00A67505">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D1EDD" w14:textId="58CEAAC3" w:rsidR="00A67505" w:rsidRDefault="00A67505">
    <w:pPr>
      <w:pStyle w:val="Footer"/>
    </w:pPr>
    <w:r>
      <w:rPr>
        <w:noProof/>
      </w:rPr>
      <mc:AlternateContent>
        <mc:Choice Requires="wps">
          <w:drawing>
            <wp:anchor distT="0" distB="0" distL="0" distR="0" simplePos="0" relativeHeight="251660288" behindDoc="0" locked="0" layoutInCell="1" allowOverlap="1" wp14:anchorId="0B79E5FE" wp14:editId="2D686AAA">
              <wp:simplePos x="457200" y="6915150"/>
              <wp:positionH relativeFrom="page">
                <wp:align>left</wp:align>
              </wp:positionH>
              <wp:positionV relativeFrom="page">
                <wp:align>bottom</wp:align>
              </wp:positionV>
              <wp:extent cx="2085975" cy="346075"/>
              <wp:effectExtent l="0" t="0" r="9525" b="0"/>
              <wp:wrapNone/>
              <wp:docPr id="265890390"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6075"/>
                      </a:xfrm>
                      <a:prstGeom prst="rect">
                        <a:avLst/>
                      </a:prstGeom>
                      <a:noFill/>
                      <a:ln>
                        <a:noFill/>
                      </a:ln>
                    </wps:spPr>
                    <wps:txbx>
                      <w:txbxContent>
                        <w:p w14:paraId="2AFCB1D7" w14:textId="3B3F48FE" w:rsidR="00A67505" w:rsidRPr="00A67505" w:rsidRDefault="00A67505" w:rsidP="00A67505">
                          <w:pPr>
                            <w:spacing w:after="0"/>
                            <w:rPr>
                              <w:rFonts w:ascii="Rockwell" w:eastAsia="Rockwell" w:hAnsi="Rockwell" w:cs="Rockwell"/>
                              <w:noProof/>
                              <w:color w:val="0078D7"/>
                              <w:sz w:val="18"/>
                              <w:szCs w:val="18"/>
                            </w:rPr>
                          </w:pPr>
                          <w:r w:rsidRPr="00A67505">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79E5FE" id="_x0000_t202" coordsize="21600,21600" o:spt="202" path="m,l,21600r21600,l21600,xe">
              <v:stroke joinstyle="miter"/>
              <v:path gradientshapeok="t" o:connecttype="rect"/>
            </v:shapetype>
            <v:shape id="Text Box 3" o:spid="_x0000_s1027" type="#_x0000_t202" alt="Information Classification: General" style="position:absolute;margin-left:0;margin-top:0;width:164.25pt;height:27.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" filled="f" stroked="f">
              <v:textbox style="mso-fit-shape-to-text:t" inset="20pt,0,0,15pt">
                <w:txbxContent>
                  <w:p w14:paraId="2AFCB1D7" w14:textId="3B3F48FE" w:rsidR="00A67505" w:rsidRPr="00A67505" w:rsidRDefault="00A67505" w:rsidP="00A67505">
                    <w:pPr>
                      <w:spacing w:after="0"/>
                      <w:rPr>
                        <w:rFonts w:ascii="Rockwell" w:eastAsia="Rockwell" w:hAnsi="Rockwell" w:cs="Rockwell"/>
                        <w:noProof/>
                        <w:color w:val="0078D7"/>
                        <w:sz w:val="18"/>
                        <w:szCs w:val="18"/>
                      </w:rPr>
                    </w:pPr>
                    <w:r w:rsidRPr="00A67505">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6461" w14:textId="502B99DA" w:rsidR="00A67505" w:rsidRDefault="00A67505">
    <w:pPr>
      <w:pStyle w:val="Footer"/>
    </w:pPr>
    <w:r>
      <w:rPr>
        <w:noProof/>
      </w:rPr>
      <mc:AlternateContent>
        <mc:Choice Requires="wps">
          <w:drawing>
            <wp:anchor distT="0" distB="0" distL="0" distR="0" simplePos="0" relativeHeight="251658240" behindDoc="0" locked="0" layoutInCell="1" allowOverlap="1" wp14:anchorId="33BA24D3" wp14:editId="744ED751">
              <wp:simplePos x="635" y="635"/>
              <wp:positionH relativeFrom="page">
                <wp:align>left</wp:align>
              </wp:positionH>
              <wp:positionV relativeFrom="page">
                <wp:align>bottom</wp:align>
              </wp:positionV>
              <wp:extent cx="2085975" cy="346075"/>
              <wp:effectExtent l="0" t="0" r="9525" b="0"/>
              <wp:wrapNone/>
              <wp:docPr id="765292647"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6075"/>
                      </a:xfrm>
                      <a:prstGeom prst="rect">
                        <a:avLst/>
                      </a:prstGeom>
                      <a:noFill/>
                      <a:ln>
                        <a:noFill/>
                      </a:ln>
                    </wps:spPr>
                    <wps:txbx>
                      <w:txbxContent>
                        <w:p w14:paraId="797EE2F9" w14:textId="13D6542F" w:rsidR="00A67505" w:rsidRPr="00A67505" w:rsidRDefault="00A67505" w:rsidP="00A67505">
                          <w:pPr>
                            <w:spacing w:after="0"/>
                            <w:rPr>
                              <w:rFonts w:ascii="Rockwell" w:eastAsia="Rockwell" w:hAnsi="Rockwell" w:cs="Rockwell"/>
                              <w:noProof/>
                              <w:color w:val="0078D7"/>
                              <w:sz w:val="18"/>
                              <w:szCs w:val="18"/>
                            </w:rPr>
                          </w:pPr>
                          <w:r w:rsidRPr="00A67505">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BA24D3"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164.25pt;height:27.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" filled="f" stroked="f">
              <v:textbox style="mso-fit-shape-to-text:t" inset="20pt,0,0,15pt">
                <w:txbxContent>
                  <w:p w14:paraId="797EE2F9" w14:textId="13D6542F" w:rsidR="00A67505" w:rsidRPr="00A67505" w:rsidRDefault="00A67505" w:rsidP="00A67505">
                    <w:pPr>
                      <w:spacing w:after="0"/>
                      <w:rPr>
                        <w:rFonts w:ascii="Rockwell" w:eastAsia="Rockwell" w:hAnsi="Rockwell" w:cs="Rockwell"/>
                        <w:noProof/>
                        <w:color w:val="0078D7"/>
                        <w:sz w:val="18"/>
                        <w:szCs w:val="18"/>
                      </w:rPr>
                    </w:pPr>
                    <w:r w:rsidRPr="00A67505">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9767C" w14:textId="77777777" w:rsidR="00C82E77" w:rsidRDefault="00C82E77" w:rsidP="00A67505">
      <w:pPr>
        <w:spacing w:after="0" w:line="240" w:lineRule="auto"/>
      </w:pPr>
      <w:r>
        <w:separator/>
      </w:r>
    </w:p>
  </w:footnote>
  <w:footnote w:type="continuationSeparator" w:id="0">
    <w:p w14:paraId="707AD277" w14:textId="77777777" w:rsidR="00C82E77" w:rsidRDefault="00C82E77" w:rsidP="00A67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110A"/>
    <w:multiLevelType w:val="hybridMultilevel"/>
    <w:tmpl w:val="4FE44B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36352"/>
    <w:multiLevelType w:val="multilevel"/>
    <w:tmpl w:val="78F276D0"/>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E74B0"/>
    <w:multiLevelType w:val="multilevel"/>
    <w:tmpl w:val="A4FCC5BC"/>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56366"/>
    <w:multiLevelType w:val="hybridMultilevel"/>
    <w:tmpl w:val="91DC4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FC4DC0"/>
    <w:multiLevelType w:val="multilevel"/>
    <w:tmpl w:val="E930942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1E5E76"/>
    <w:multiLevelType w:val="multilevel"/>
    <w:tmpl w:val="FDB6B30A"/>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F661E4"/>
    <w:multiLevelType w:val="multilevel"/>
    <w:tmpl w:val="8A2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CE51F2"/>
    <w:multiLevelType w:val="multilevel"/>
    <w:tmpl w:val="2CB2376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735C4B"/>
    <w:multiLevelType w:val="multilevel"/>
    <w:tmpl w:val="FD9E363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5423BF"/>
    <w:multiLevelType w:val="multilevel"/>
    <w:tmpl w:val="4024F0C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446791"/>
    <w:multiLevelType w:val="multilevel"/>
    <w:tmpl w:val="74C2C8FC"/>
    <w:lvl w:ilvl="0">
      <w:start w:val="1"/>
      <w:numFmt w:val="upperLetter"/>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4C333C"/>
    <w:multiLevelType w:val="multilevel"/>
    <w:tmpl w:val="FBF478E4"/>
    <w:styleLink w:val="Ii1"/>
    <w:lvl w:ilvl="0">
      <w:start w:val="1"/>
      <w:numFmt w:val="upperRoman"/>
      <w:lvlText w:val="%1."/>
      <w:lvlJc w:val="left"/>
      <w:pPr>
        <w:ind w:left="360" w:hanging="360"/>
      </w:pPr>
      <w:rPr>
        <w:rFonts w:asciiTheme="minorHAnsi" w:hAnsiTheme="minorHAnsi" w:hint="default"/>
      </w:rPr>
    </w:lvl>
    <w:lvl w:ilvl="1">
      <w:start w:val="1"/>
      <w:numFmt w:val="lowerRoman"/>
      <w:lvlText w:val="%2."/>
      <w:lvlJc w:val="left"/>
      <w:pPr>
        <w:ind w:left="720" w:hanging="360"/>
      </w:pPr>
      <w:rPr>
        <w:rFonts w:asciiTheme="minorHAnsi" w:hAnsiTheme="minorHAnsi" w:hint="default"/>
      </w:rPr>
    </w:lvl>
    <w:lvl w:ilvl="2">
      <w:start w:val="1"/>
      <w:numFmt w:val="decimal"/>
      <w:lvlText w:val="%3."/>
      <w:lvlJc w:val="left"/>
      <w:pPr>
        <w:ind w:left="1080" w:hanging="360"/>
      </w:pPr>
      <w:rPr>
        <w:rFonts w:asciiTheme="minorHAnsi" w:hAnsiTheme="minorHAnsi" w:hint="default"/>
      </w:rPr>
    </w:lvl>
    <w:lvl w:ilvl="3">
      <w:start w:val="1"/>
      <w:numFmt w:val="decimal"/>
      <w:lvlText w:val="(%4)"/>
      <w:lvlJc w:val="left"/>
      <w:pPr>
        <w:ind w:left="1440" w:hanging="360"/>
      </w:pPr>
      <w:rPr>
        <w:rFonts w:asciiTheme="minorHAnsi" w:hAnsiTheme="minorHAnsi" w:hint="default"/>
      </w:rPr>
    </w:lvl>
    <w:lvl w:ilvl="4">
      <w:start w:val="1"/>
      <w:numFmt w:val="upperLetter"/>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2" w15:restartNumberingAfterBreak="0">
    <w:nsid w:val="512A0AE7"/>
    <w:multiLevelType w:val="multilevel"/>
    <w:tmpl w:val="89446FCE"/>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9D7BF4"/>
    <w:multiLevelType w:val="multilevel"/>
    <w:tmpl w:val="22DA91B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AC2633"/>
    <w:multiLevelType w:val="multilevel"/>
    <w:tmpl w:val="1D603B12"/>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342D09"/>
    <w:multiLevelType w:val="multilevel"/>
    <w:tmpl w:val="CBA2915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FB76DF"/>
    <w:multiLevelType w:val="multilevel"/>
    <w:tmpl w:val="505A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48770C"/>
    <w:multiLevelType w:val="multilevel"/>
    <w:tmpl w:val="89446FCE"/>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DB18EE"/>
    <w:multiLevelType w:val="multilevel"/>
    <w:tmpl w:val="26BA0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790782"/>
    <w:multiLevelType w:val="multilevel"/>
    <w:tmpl w:val="9232F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051F2B"/>
    <w:multiLevelType w:val="multilevel"/>
    <w:tmpl w:val="03D8F4B2"/>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6A69F2"/>
    <w:multiLevelType w:val="multilevel"/>
    <w:tmpl w:val="69EC0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608008">
    <w:abstractNumId w:val="11"/>
  </w:num>
  <w:num w:numId="2" w16cid:durableId="1006516202">
    <w:abstractNumId w:val="3"/>
  </w:num>
  <w:num w:numId="3" w16cid:durableId="1424035549">
    <w:abstractNumId w:val="10"/>
  </w:num>
  <w:num w:numId="4" w16cid:durableId="1958482633">
    <w:abstractNumId w:val="20"/>
  </w:num>
  <w:num w:numId="5" w16cid:durableId="1802069426">
    <w:abstractNumId w:val="17"/>
  </w:num>
  <w:num w:numId="6" w16cid:durableId="378434255">
    <w:abstractNumId w:val="5"/>
  </w:num>
  <w:num w:numId="7" w16cid:durableId="757754700">
    <w:abstractNumId w:val="7"/>
  </w:num>
  <w:num w:numId="8" w16cid:durableId="701398498">
    <w:abstractNumId w:val="14"/>
  </w:num>
  <w:num w:numId="9" w16cid:durableId="741760342">
    <w:abstractNumId w:val="1"/>
  </w:num>
  <w:num w:numId="10" w16cid:durableId="209078839">
    <w:abstractNumId w:val="19"/>
  </w:num>
  <w:num w:numId="11" w16cid:durableId="2096709927">
    <w:abstractNumId w:val="0"/>
  </w:num>
  <w:num w:numId="12" w16cid:durableId="1774739022">
    <w:abstractNumId w:val="21"/>
  </w:num>
  <w:num w:numId="13" w16cid:durableId="1899196531">
    <w:abstractNumId w:val="4"/>
  </w:num>
  <w:num w:numId="14" w16cid:durableId="140271354">
    <w:abstractNumId w:val="9"/>
  </w:num>
  <w:num w:numId="15" w16cid:durableId="1028944804">
    <w:abstractNumId w:val="15"/>
  </w:num>
  <w:num w:numId="16" w16cid:durableId="1013188939">
    <w:abstractNumId w:val="8"/>
  </w:num>
  <w:num w:numId="17" w16cid:durableId="1006595862">
    <w:abstractNumId w:val="2"/>
  </w:num>
  <w:num w:numId="18" w16cid:durableId="1189444385">
    <w:abstractNumId w:val="13"/>
  </w:num>
  <w:num w:numId="19" w16cid:durableId="1270241360">
    <w:abstractNumId w:val="16"/>
  </w:num>
  <w:num w:numId="20" w16cid:durableId="1132942918">
    <w:abstractNumId w:val="6"/>
  </w:num>
  <w:num w:numId="21" w16cid:durableId="11808060">
    <w:abstractNumId w:val="18"/>
  </w:num>
  <w:num w:numId="22" w16cid:durableId="16539481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505"/>
    <w:rsid w:val="002156B8"/>
    <w:rsid w:val="00370BA4"/>
    <w:rsid w:val="004742E8"/>
    <w:rsid w:val="004E5DC4"/>
    <w:rsid w:val="004F7EA2"/>
    <w:rsid w:val="00556D22"/>
    <w:rsid w:val="005B0FE3"/>
    <w:rsid w:val="006970CA"/>
    <w:rsid w:val="007D78A7"/>
    <w:rsid w:val="008B7C3D"/>
    <w:rsid w:val="009642A6"/>
    <w:rsid w:val="00A079D2"/>
    <w:rsid w:val="00A2071C"/>
    <w:rsid w:val="00A67505"/>
    <w:rsid w:val="00B2614D"/>
    <w:rsid w:val="00B45C90"/>
    <w:rsid w:val="00B6052D"/>
    <w:rsid w:val="00BE3988"/>
    <w:rsid w:val="00C347B2"/>
    <w:rsid w:val="00C45F83"/>
    <w:rsid w:val="00C82E77"/>
    <w:rsid w:val="00C96625"/>
    <w:rsid w:val="00CD7938"/>
    <w:rsid w:val="00DC4467"/>
    <w:rsid w:val="00DE4DAA"/>
    <w:rsid w:val="00EC174F"/>
    <w:rsid w:val="00EF11D8"/>
    <w:rsid w:val="00F4757A"/>
    <w:rsid w:val="00FB3FD2"/>
    <w:rsid w:val="00FF4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BE18"/>
  <w15:chartTrackingRefBased/>
  <w15:docId w15:val="{1FAE4BC6-8B6D-4496-9EE3-786374B8D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467"/>
  </w:style>
  <w:style w:type="paragraph" w:styleId="Heading1">
    <w:name w:val="heading 1"/>
    <w:basedOn w:val="Normal"/>
    <w:next w:val="Normal"/>
    <w:link w:val="Heading1Char"/>
    <w:uiPriority w:val="9"/>
    <w:qFormat/>
    <w:rsid w:val="00A67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Ii1">
    <w:name w:val="I_i_1"/>
    <w:uiPriority w:val="99"/>
    <w:rsid w:val="00A079D2"/>
    <w:pPr>
      <w:numPr>
        <w:numId w:val="1"/>
      </w:numPr>
    </w:pPr>
  </w:style>
  <w:style w:type="character" w:customStyle="1" w:styleId="Heading1Char">
    <w:name w:val="Heading 1 Char"/>
    <w:basedOn w:val="DefaultParagraphFont"/>
    <w:link w:val="Heading1"/>
    <w:uiPriority w:val="9"/>
    <w:rsid w:val="00A67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505"/>
    <w:rPr>
      <w:rFonts w:eastAsiaTheme="majorEastAsia" w:cstheme="majorBidi"/>
      <w:color w:val="272727" w:themeColor="text1" w:themeTint="D8"/>
    </w:rPr>
  </w:style>
  <w:style w:type="paragraph" w:styleId="Title">
    <w:name w:val="Title"/>
    <w:basedOn w:val="Normal"/>
    <w:next w:val="Normal"/>
    <w:link w:val="TitleChar"/>
    <w:uiPriority w:val="10"/>
    <w:qFormat/>
    <w:rsid w:val="00A67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505"/>
    <w:pPr>
      <w:spacing w:before="160"/>
      <w:jc w:val="center"/>
    </w:pPr>
    <w:rPr>
      <w:i/>
      <w:iCs/>
      <w:color w:val="404040" w:themeColor="text1" w:themeTint="BF"/>
    </w:rPr>
  </w:style>
  <w:style w:type="character" w:customStyle="1" w:styleId="QuoteChar">
    <w:name w:val="Quote Char"/>
    <w:basedOn w:val="DefaultParagraphFont"/>
    <w:link w:val="Quote"/>
    <w:uiPriority w:val="29"/>
    <w:rsid w:val="00A67505"/>
    <w:rPr>
      <w:i/>
      <w:iCs/>
      <w:color w:val="404040" w:themeColor="text1" w:themeTint="BF"/>
    </w:rPr>
  </w:style>
  <w:style w:type="paragraph" w:styleId="ListParagraph">
    <w:name w:val="List Paragraph"/>
    <w:basedOn w:val="Normal"/>
    <w:uiPriority w:val="34"/>
    <w:qFormat/>
    <w:rsid w:val="00A67505"/>
    <w:pPr>
      <w:ind w:left="720"/>
      <w:contextualSpacing/>
    </w:pPr>
  </w:style>
  <w:style w:type="character" w:styleId="IntenseEmphasis">
    <w:name w:val="Intense Emphasis"/>
    <w:basedOn w:val="DefaultParagraphFont"/>
    <w:uiPriority w:val="21"/>
    <w:qFormat/>
    <w:rsid w:val="00A67505"/>
    <w:rPr>
      <w:i/>
      <w:iCs/>
      <w:color w:val="0F4761" w:themeColor="accent1" w:themeShade="BF"/>
    </w:rPr>
  </w:style>
  <w:style w:type="paragraph" w:styleId="IntenseQuote">
    <w:name w:val="Intense Quote"/>
    <w:basedOn w:val="Normal"/>
    <w:next w:val="Normal"/>
    <w:link w:val="IntenseQuoteChar"/>
    <w:uiPriority w:val="30"/>
    <w:qFormat/>
    <w:rsid w:val="00A67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505"/>
    <w:rPr>
      <w:i/>
      <w:iCs/>
      <w:color w:val="0F4761" w:themeColor="accent1" w:themeShade="BF"/>
    </w:rPr>
  </w:style>
  <w:style w:type="character" w:styleId="IntenseReference">
    <w:name w:val="Intense Reference"/>
    <w:basedOn w:val="DefaultParagraphFont"/>
    <w:uiPriority w:val="32"/>
    <w:qFormat/>
    <w:rsid w:val="00A67505"/>
    <w:rPr>
      <w:b/>
      <w:bCs/>
      <w:smallCaps/>
      <w:color w:val="0F4761" w:themeColor="accent1" w:themeShade="BF"/>
      <w:spacing w:val="5"/>
    </w:rPr>
  </w:style>
  <w:style w:type="table" w:styleId="PlainTable3">
    <w:name w:val="Plain Table 3"/>
    <w:basedOn w:val="TableNormal"/>
    <w:uiPriority w:val="43"/>
    <w:rsid w:val="00A6750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Footer">
    <w:name w:val="footer"/>
    <w:basedOn w:val="Normal"/>
    <w:link w:val="FooterChar"/>
    <w:uiPriority w:val="99"/>
    <w:unhideWhenUsed/>
    <w:rsid w:val="00A67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505"/>
  </w:style>
  <w:style w:type="table" w:styleId="GridTable2-Accent1">
    <w:name w:val="Grid Table 2 Accent 1"/>
    <w:basedOn w:val="TableNormal"/>
    <w:uiPriority w:val="47"/>
    <w:rsid w:val="002156B8"/>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BE3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k-md-li">
    <w:name w:val="qk-md-li"/>
    <w:basedOn w:val="Normal"/>
    <w:rsid w:val="00BE39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qk-md-text">
    <w:name w:val="qk-md-text"/>
    <w:basedOn w:val="DefaultParagraphFont"/>
    <w:rsid w:val="00BE3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990</Words>
  <Characters>5646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Informa plc</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 Raymond</dc:creator>
  <cp:keywords/>
  <dc:description/>
  <cp:lastModifiedBy>Zhan, Raymond</cp:lastModifiedBy>
  <cp:revision>10</cp:revision>
  <dcterms:created xsi:type="dcterms:W3CDTF">2026-04-01T04:32:00Z</dcterms:created>
  <dcterms:modified xsi:type="dcterms:W3CDTF">2026-04-07T02:19:00Z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2d9d7067,20019c04,fd92a56</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2026-03-20T11:28:12Z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18b3b7d7-0ed2-407d-97ef-449816baceee</vt:lpwstr>
  </property>
  <property fmtid="{D5CDD505-2E9C-101B-9397-08002B2CF9AE}" pid="11" name="MSIP_Label_2bbab825-a111-45e4-86a1-18cee0005896_ContentBits">
    <vt:lpwstr>2</vt:lpwstr>
  </property>
  <property fmtid="{D5CDD505-2E9C-101B-9397-08002B2CF9AE}" pid="12" name="MSIP_Label_2bbab825-a111-45e4-86a1-18cee0005896_Tag">
    <vt:lpwstr>10, 3, 0, 1</vt:lpwstr>
  </property>
</Properties>
</file>