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Py-CoSim: time-aware message-based co-simulation of building energy and artificial intelligence models</w:t>
      </w:r>
    </w:p>
    <w:p>
      <w:pPr>
        <w:pStyle w:val="HeadingUnnumbered"/>
      </w:pPr>
      <w:r>
        <w:t xml:space="preserve">Abstract</w:t>
      </w:r>
    </w:p>
    <w:p>
      <w:pPr>
        <w:pStyle w:val="Abstract"/>
      </w:pPr>
      <w:r>
        <w:t xml:space="preserve">Building energy models are increasingly co-simulated with photovoltaic systems, batteries, tariffs, occupant and machine-learning models, and large language model agents. Co-simulation tools connect such programs but exchange values as numbers stamped with an instant, leaving users to decide which interval each value belongs to, and offer no rules for artificial intelligence (AI) components that answer differently on every call, return invalid values or respond slowly. This paper presents Py-CoSim, an open-source Python co-simulation framework in which components exchange messages through a time-aware hub, TIDE (Time-aware Interval Data Exchange). Each message states whether its value is an instantaneous sample, an interval average, an interval amount, a value held until replaced or an event, and each input declares the window it needs. TIDE aligns the data automatically, flags their quality, records them for exact replay, traces their provenance and delivers the answers of slow components at a declared simulation time. Co-simulated EnergyPlus results were identical to standalone runs. Aligned exchange computed energy and cost exactly when a consumer’s step was a multiple of its producer’s, whereas exchanging latest values erred by up to 6 %. In a ten-office community with photovoltaics and a battery, naive exchange overstated the battery’s peak reduction (peak import 120 kW instead of 135 kW). Replay reproduced runs with a stochastic AI supervisor exactly and cut the spread of a retrofit-savings estimate 24-fold; asynchronous delivery shortened runs with eight slow AI supervisors 2.9-fold without changing results. The code is available at https://github.com/lz356/Py-CoSim.</w:t>
      </w:r>
    </w:p>
    <w:p>
      <w:pPr>
        <w:pStyle w:val="Keywords"/>
      </w:pPr>
      <w:r>
        <w:rPr>
          <w:b/>
          <w:bCs/>
        </w:rPr>
        <w:t xml:space="preserve">Keywords: </w:t>
      </w:r>
      <w:r>
        <w:t xml:space="preserve">co-simulation; EnergyPlus; time semantics; large language models;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OTMyMTY4MjEiPjU4PC9rZXk+PC9mb3JlaWduLWtleXM+PHJlZi10eXBlIG5hbWU9IlJlcG9ydCI+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IiB0aW1lc3RhbXA9IjE3OTMyMTY4MjEiPjM1PC9rZXk+PC9mb3JlaWduLWtleXM+PHJlZi10eXBl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 </w:instrTex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OTMyMTY4MjEiPjU4PC9rZXk+PC9mb3JlaWduLWtleXM+PHJlZi10eXBlIG5hbWU9IlJlcG9ydCI+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IiB0aW1lc3RhbXA9IjE3OTMyMTY4MjEiPjM1PC9rZXk+PC9mb3JlaWduLWtleXM+PHJlZi10eXBl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EN.CITE.DATA </w:instrText>
      </w:r>
      <w:r>
        <w:fldChar w:fldCharType="end"/>
      </w:r>
      <w:r>
        <w:fldChar w:fldCharType="separate"/>
      </w:r>
      <w:r>
        <w:rPr>
          <w:noProof/>
        </w:rPr>
        <w:t>[1,2]</w:t>
      </w:r>
      <w:r>
        <w:fldChar w:fldCharType="end"/>
      </w:r>
      <w:r>
        <w:t xml:space="preserve">. Occupant models, machine-learning (ML) predictors and, increasingly, large language models (LLMs) take part in the control loop </w: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MzIxNjgyMSI+ODM8L2tleT48L2ZvcmVpZ24ta2V5cz48cmVmLXR5cGUgbmFtZT0iSm91cm5hbCBB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YWZmOWMwODZlMTZjYzI1ODk1IiB0aW1lc3RhbXA9IjE3OTMyMTY4MjEiPjE8L2tleT48L2ZvcmVp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PSIxNzkzMjE2ODIxIj45NDwva2V5PjwvZm9yZWlnbi1rZXlzPjxyZWYtdHlwZSBuYW1lPSJKb3Vy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NSIgdGltZXN0YW1wPSIxNzkzMjE2ODIxIj41MTwva2V5PjwvZm9yZWlnbi1rZXlzPjxyZWYtdHlw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 </w:instrTex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MzIxNjgyMSI+ODM8L2tleT48L2ZvcmVpZ24ta2V5cz48cmVmLXR5cGUgbmFtZT0iSm91cm5hbCBB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YWZmOWMwODZlMTZjYzI1ODk1IiB0aW1lc3RhbXA9IjE3OTMyMTY4MjEiPjE8L2tleT48L2ZvcmVp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PSIxNzkzMjE2ODIxIj45NDwva2V5PjwvZm9yZWlnbi1rZXlzPjxyZWYtdHlwZSBuYW1lPSJKb3Vy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NSIgdGltZXN0YW1wPSIxNzkzMjE2ODIxIj41MTwva2V5PjwvZm9yZWlnbi1rZXlzPjxyZWYtdHlw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EN.CITE.DATA </w:instrText>
      </w:r>
      <w:r>
        <w:fldChar w:fldCharType="end"/>
      </w:r>
      <w:r>
        <w:fldChar w:fldCharType="separate"/>
      </w:r>
      <w:r>
        <w:rPr>
          <w:noProof/>
        </w:rPr>
        <w:t>[3–6]</w:t>
      </w:r>
      <w:r>
        <w:fldChar w:fldCharType="end"/>
      </w:r>
      <w:r>
        <w:t xml:space="preserve">. No single program models all of this. Co-simulation, the coupled execution of separate models that exchange data at run time, is therefore the standard way to study such systems </w: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MjE2ODIxIj4yNjwva2V5PjwvZm9yZWlnbi1rZXlzPjxyZWYtdHlwZSBuYW1lPSJKb3VybmFsIEFy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MDEwOTQ5NmZlYTRhZmY5YzA4NmUxNmNjMjU4OTUiIHRpbWVzdGFtcD0iMTc5MzIxNjgyMSI+MzQ8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 </w:instrTex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MjE2ODIxIj4yNjwva2V5PjwvZm9yZWlnbi1rZXlzPjxyZWYtdHlwZSBuYW1lPSJKb3VybmFsIEFy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MDEwOTQ5NmZlYTRhZmY5YzA4NmUxNmNjMjU4OTUiIHRpbWVzdGFtcD0iMTc5MzIxNjgyMSI+MzQ8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EN.CITE.DATA </w:instrText>
      </w:r>
      <w:r>
        <w:fldChar w:fldCharType="end"/>
      </w:r>
      <w:r>
        <w:fldChar w:fldCharType="separate"/>
      </w:r>
      <w:r>
        <w:rPr>
          <w:noProof/>
        </w:rPr>
        <w:t>[7,8]</w:t>
      </w:r>
      <w:r>
        <w:fldChar w:fldCharType="end"/>
      </w:r>
      <w:r>
        <w:t xml:space="preserve">.</w:t>
      </w:r>
    </w:p>
    <w:p>
      <w:pPr>
        <w:pStyle w:val="BodyText"/>
      </w:pPr>
      <w:r>
        <w:t xml:space="preserve">Most co-simulation infrastructure is organized around connecting software. The Functional Mock-up Interface (FMI) packages a model behind a standard programming interface </w: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NzkzMjE2ODIxIj42PC9rZXk+PC9mb3JlaWduLWtleXM+PHJlZi10eXBlIG5hbWU9IkNvbmZlcmVu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Y2MyNTg5NSIgdGltZXN0YW1wPSIxNzkzMjE2ODIxIj40Mjwva2V5PjwvZm9yZWlnbi1rZXlzPjxy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 </w:instrTex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NzkzMjE2ODIxIj42PC9rZXk+PC9mb3JlaWduLWtleXM+PHJlZi10eXBlIG5hbWU9IkNvbmZlcmVu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Y2MyNTg5NSIgdGltZXN0YW1wPSIxNzkzMjE2ODIxIj40Mjwva2V5PjwvZm9yZWlnbi1rZXlzPjxy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EN.CITE.DATA </w:instrText>
      </w:r>
      <w:r>
        <w:fldChar w:fldCharType="end"/>
      </w:r>
      <w:r>
        <w:fldChar w:fldCharType="separate"/>
      </w:r>
      <w:r>
        <w:rPr>
          <w:noProof/>
        </w:rPr>
        <w:t>[9,10]</w:t>
      </w:r>
      <w:r>
        <w:fldChar w:fldCharType="end"/>
      </w:r>
      <w:r>
        <w:t xml:space="preserve">. The Building Controls Virtual Test Bed (BCVTB) and EnergyPlus’s External Interface link EnergyPlus to other programs through sockets </w: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NzkzMjE2ODIxIj44NTwva2V5PjwvZm9yZWlnbi1rZXlzPjxyZWYtdHlwZSBuYW1lPSJKb3VybmFs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ZjljMDg2ZTE2Y2MyNTg5NSIgdGltZXN0YW1wPSIxNzkzMjE2ODIxIj41OTwva2V5PjwvZm9yZWln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 </w:instrTex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NzkzMjE2ODIxIj44NTwva2V5PjwvZm9yZWlnbi1rZXlzPjxyZWYtdHlwZSBuYW1lPSJKb3VybmFs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ZjljMDg2ZTE2Y2MyNTg5NSIgdGltZXN0YW1wPSIxNzkzMjE2ODIxIj41OTwva2V5PjwvZm9yZWln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EN.CITE.DATA </w:instrText>
      </w:r>
      <w:r>
        <w:fldChar w:fldCharType="end"/>
      </w:r>
      <w:r>
        <w:fldChar w:fldCharType="separate"/>
      </w:r>
      <w:r>
        <w:rPr>
          <w:noProof/>
        </w:rPr>
        <w:t>[11,12]</w:t>
      </w:r>
      <w:r>
        <w:fldChar w:fldCharType="end"/>
      </w:r>
      <w:r>
        <w:t xml:space="preserve">. Spawn of EnergyPlus couples Modelica with EnergyPlus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timestamp="1793216821"&gt;86&lt;/key&gt;&lt;/foreign-keys&gt;&lt;ref-type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Gym-style environments such as Sinergym, COBS and BOPTEST wrap a building model for reinforcement learning </w: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aW1lc3RhbXA9IjE3OTMyMTY4MjEiPjQxPC9rZXk+PC9mb3JlaWduLWtleXM+PHJlZi10eXBlIG5h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ZGFlODUwMDEwOTQ5NmZlYTRhZmY5YzA4NmUxNmNjMjU4OTUiIHRpbWVzdGFtcD0iMTc5MzIxNjgy
MSI+OTA8L2tleT48L2ZvcmVpZ24ta2V5cz48cmVmLXR5cGUgbmFtZT0iQ29uZmVyZW5jZSBQYXBl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aW1lc3RhbXA9IjE3OTMyMTY4MjEiPjc8L2tleT48L2ZvcmVpZ24ta2V5cz48cmVmLXR5cGUgbmFt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 </w:instrTex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aW1lc3RhbXA9IjE3OTMyMTY4MjEiPjQxPC9rZXk+PC9mb3JlaWduLWtleXM+PHJlZi10eXBlIG5h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ZGFlODUwMDEwOTQ5NmZlYTRhZmY5YzA4NmUxNmNjMjU4OTUiIHRpbWVzdGFtcD0iMTc5MzIxNjgy
MSI+OTA8L2tleT48L2ZvcmVpZ24ta2V5cz48cmVmLXR5cGUgbmFtZT0iQ29uZmVyZW5jZSBQYXBl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aW1lc3RhbXA9IjE3OTMyMTY4MjEiPjc8L2tleT48L2ZvcmVpZ24ta2V5cz48cmVmLXR5cGUgbmFt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EN.CITE.DATA </w:instrText>
      </w:r>
      <w:r>
        <w:fldChar w:fldCharType="end"/>
      </w:r>
      <w:r>
        <w:fldChar w:fldCharType="separate"/>
      </w:r>
      <w:r>
        <w:rPr>
          <w:noProof/>
        </w:rPr>
        <w:t>[14–16]</w:t>
      </w:r>
      <w:r>
        <w:fldChar w:fldCharType="end"/>
      </w:r>
      <w:r>
        <w:t xml:space="preserve">. Message-based frameworks such as HELICS and mosaik let simulators publish and subscribe to values through a broker or scheduler </w: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YW1wPSIxNzkzMjE2ODIxIj42ODwva2V5PjwvZm9yZWlnbi1rZXlzPjxyZWYtdHlwZSBuYW1lPSJD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OTMyMTY4MjEiPjI5PC9rZXk+PC9mb3JlaWduLWtleXM+PHJlZi10eXBlIG5hbWU9IkpvdXJuYWwg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YTRhZmY5YzA4NmUxNmNjMjU4OTUiIHRpbWVzdGFtcD0iMTc5MzIxNjgyMSI+Nzg8L2tleT48L2Zv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YzA4NmUxNmNjMjU4OTUiIHRpbWVzdGFtcD0iMTc5MzIxNjgyMSI+NjI8L2tleT48L2ZvcmVpZ24t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 </w:instrTex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YW1wPSIxNzkzMjE2ODIxIj42ODwva2V5PjwvZm9yZWlnbi1rZXlzPjxyZWYtdHlwZSBuYW1lPSJD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OTMyMTY4MjEiPjI5PC9rZXk+PC9mb3JlaWduLWtleXM+PHJlZi10eXBlIG5hbWU9IkpvdXJuYWwg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YTRhZmY5YzA4NmUxNmNjMjU4OTUiIHRpbWVzdGFtcD0iMTc5MzIxNjgyMSI+Nzg8L2tleT48L2Zv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YzA4NmUxNmNjMjU4OTUiIHRpbWVzdGFtcD0iMTc5MzIxNjgyMSI+NjI8L2tleT48L2ZvcmVpZ24t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EN.CITE.DATA </w:instrText>
      </w:r>
      <w:r>
        <w:fldChar w:fldCharType="end"/>
      </w:r>
      <w:r>
        <w:fldChar w:fldCharType="separate"/>
      </w:r>
      <w:r>
        <w:rPr>
          <w:noProof/>
        </w:rPr>
        <w:t>[17–20]</w:t>
      </w:r>
      <w:r>
        <w:fldChar w:fldCharType="end"/>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timestamp="1793216821"&gt;20&lt;/key&gt;&lt;/foreign-keys&gt;&lt;ref-type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and they are usually fixed by hand for each connection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BodyText"/>
      </w:pPr>
      <w:r>
        <w:t xml:space="preserve">The second reason is that AI components behave differently from physics models. A physics model is deterministic, fast, always returns a valid number, and needs only its current inputs. A hosted LLM may answer the same prompt differently on each call, even at temperature zero </w:t>
      </w:r>
      <w:r>
        <w:fldChar w:fldCharType="begin"/>
      </w:r>
      <w:r>
        <w:instrText xml:space="preserve"> ADDIN EN.CITE &lt;EndNote&gt;&lt;Cite&gt;&lt;Author&gt;Ouyang&lt;/Author&gt;&lt;Year&gt;2025&lt;/Year&gt;&lt;RecNum&gt;66&lt;/RecNum&gt;&lt;DisplayText&gt;[25]&lt;/DisplayText&gt;&lt;record&gt;&lt;rec-number&gt;66&lt;/rec-number&gt;&lt;foreign-keys&gt;&lt;key app="EN" db-id="mdae8500109496fea4aff9c086e16cc25895" timestamp="1793216821"&gt;66&lt;/key&gt;&lt;/foreign-keys&gt;&lt;ref-type name="Journal Article"&gt;17&lt;/ref-type&gt;&lt;contributors&gt;&lt;authors&gt;&lt;author&gt;Ouyang, Shuyin&lt;/author&gt;&lt;author&gt;Zhang, Jie M.&lt;/author&gt;&lt;author&gt;Harman, Mark&lt;/author&gt;&lt;author&gt;Wang, Meng&lt;/author&gt;&lt;/authors&gt;&lt;/contributors&gt;&lt;titles&gt;&lt;title&gt;An Empirical Study of the Non-Determinism of ChatGPT in Code Generation&lt;/title&gt;&lt;secondary-title&gt;ACM Transactions on Software Engineering and Methodology&lt;/secondary-title&gt;&lt;alt-title&gt;ACM Trans. Softw. Eng. Methodol.&lt;/alt-title&gt;&lt;/titles&gt;&lt;periodical&gt;&lt;full-title&gt;ACM Transactions on Software Engineering and Methodology&lt;/full-title&gt;&lt;abbr-1&gt;ACM Trans. Softw. Eng. Methodol.&lt;/abbr-1&gt;&lt;/periodical&gt;&lt;pages&gt;1-28&lt;/pages&gt;&lt;volume&gt;34&lt;/volume&gt;&lt;number&gt;2&lt;/number&gt;&lt;dates&gt;&lt;year&gt;2025&lt;/year&gt;&lt;/dates&gt;&lt;publisher&gt;ACM&lt;/publisher&gt;&lt;label&gt;ouyang2025&lt;/label&gt;&lt;urls&gt;&lt;/urls&gt;&lt;electronic-resource-num&gt;10.1145/3697010&lt;/electronic-resource-num&gt;&lt;/record&gt;&lt;/Cite&gt;&lt;/EndNote&gt;</w:instrText>
      </w:r>
      <w:r>
        <w:fldChar w:fldCharType="separate"/>
      </w:r>
      <w:r>
        <w:rPr>
          <w:noProof/>
        </w:rPr>
        <w:t>[25]</w:t>
      </w:r>
      <w:r>
        <w:fldChar w:fldCharType="end"/>
      </w:r>
      <w:r>
        <w:t xml:space="preserve">. It may time out, refuse, or return text that is not a valid control signal. One call can take seconds while a building time step takes milliseconds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timestamp="1793216821"&gt;57&lt;/key&gt;&lt;/foreign-keys&gt;&lt;ref-type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 An ML predictor needs a history of features rather than a single value. Reinforcement-learning results are notoriously hard to reproduce </w:t>
      </w:r>
      <w:r>
        <w:fldChar w:fldCharType="begin"/>
      </w:r>
      <w:r>
        <w:instrText xml:space="preserve"> ADDIN EN.CITE &lt;EndNote&gt;&lt;Cite&gt;&lt;Author&gt;Henderson&lt;/Author&gt;&lt;Year&gt;2018&lt;/Year&gt;&lt;RecNum&gt;32&lt;/RecNum&gt;&lt;DisplayText&gt;[27]&lt;/DisplayText&gt;&lt;record&gt;&lt;rec-number&gt;32&lt;/rec-number&gt;&lt;foreign-keys&gt;&lt;key app="EN" db-id="mdae8500109496fea4aff9c086e16cc25895" timestamp="1793216821"&gt;32&lt;/key&gt;&lt;/foreign-keys&gt;&lt;ref-type name="Conference Paper"&gt;47&lt;/ref-type&gt;&lt;contributors&gt;&lt;authors&gt;&lt;author&gt;Henderson, Peter&lt;/author&gt;&lt;author&gt;Islam, Riashat&lt;/author&gt;&lt;author&gt;Bachman, Philip&lt;/author&gt;&lt;author&gt;Pineau, Joelle&lt;/author&gt;&lt;author&gt;Precup, Doina&lt;/author&gt;&lt;author&gt;Meger, David&lt;/author&gt;&lt;/authors&gt;&lt;/contributors&gt;&lt;titles&gt;&lt;title&gt;Deep Reinforcement Learning That Matters&lt;/title&gt;&lt;secondary-title&gt;Proceedings of the AAAI Conference on Artificial Intelligence&lt;/secondary-title&gt;&lt;/titles&gt;&lt;pages&gt;3207-3214&lt;/pages&gt;&lt;volume&gt;32&lt;/volume&gt;&lt;number&gt;1&lt;/number&gt;&lt;dates&gt;&lt;year&gt;2018&lt;/year&gt;&lt;/dates&gt;&lt;publisher&gt;AAAI Press&lt;/publisher&gt;&lt;label&gt;henderson2018&lt;/label&gt;&lt;urls&gt;&lt;/urls&gt;&lt;electronic-resource-num&gt;10.1609/aaai.v32i1.11694&lt;/electronic-resource-num&gt;&lt;/record&gt;&lt;/Cite&gt;&lt;/EndNote&gt;</w:instrText>
      </w:r>
      <w:r>
        <w:fldChar w:fldCharType="separate"/>
      </w:r>
      <w:r>
        <w:rPr>
          <w:noProof/>
        </w:rPr>
        <w:t>[27]</w:t>
      </w:r>
      <w:r>
        <w:fldChar w:fldCharType="end"/>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lists bounded latency, physics guardrails and reproducibility as open needs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timestamp="1793216821"&gt;57&lt;/key&gt;&lt;/foreign-keys&gt;&lt;ref-type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w:t>
      </w:r>
    </w:p>
    <w:p>
      <w:pPr>
        <w:pStyle w:val="BodyText"/>
      </w:pPr>
      <w:r>
        <w:t xml:space="preserve">This paper presents Py-CoSim, an open-source Python co-simulation framework built on a different principle: instead of connecting program A to program B, every component publishes messages to a hub and subscribes to what it needs, without knowing which component produced it. The hub, TIDE (Time-aware Interval Data Exchange), requires every message to state what its time stamp means and aligns it to what each receiving component needs. EnergyPlus is coupled through its Python application programming interface (API), and the same messages connect weather data, distributed energy resources, tariffs, ML models, LLM agents and reinforcement-learning agents.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TIDE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AI components,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(https://github.com/lz356/Py-CoSim), in which EnergyPlus can also run a finer internal time step than the exchange step. It is evaluated through verification against standalone EnergyPlus, coupling-error studies on synthetic signals and on an EnergyPlus case, reproducibility and latency experiments with stand-ins for LLM services, an overhead analysis, and a head-to-head comparison with HELICS.</w:t>
      </w:r>
    </w:p>
    <w:p>
      <w:pPr>
        <w:pStyle w:val="BodyText"/>
      </w:pPr>
      <w:r>
        <w:t xml:space="preserve">Section 2 reviews related work. </w:t>
      </w:r>
      <w:r>
        <w:t xml:space="preserve">Section 3</w:t>
      </w:r>
      <w:r>
        <w:t xml:space="preserve"> describes TIDE. </w:t>
      </w:r>
      <w:r>
        <w:t xml:space="preserve">Section 4</w:t>
      </w:r>
      <w:r>
        <w:t xml:space="preserve"> summarizes the implementation. </w:t>
      </w:r>
      <w:r>
        <w:t xml:space="preserve">Section 5</w:t>
      </w:r>
      <w:r>
        <w:t xml:space="preserve"> reports the evaluation. </w:t>
      </w:r>
      <w:r>
        <w:t xml:space="preserve">Section 6</w:t>
      </w:r>
      <w:r>
        <w:t xml:space="preserve"> discusses limitations and </w:t>
      </w:r>
      <w:r>
        <w:t xml:space="preserve">Section 7</w:t>
      </w:r>
      <w:r>
        <w:t xml:space="preserve"> concludes.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fldChar w:fldCharType="begin"/>
      </w:r>
      <w:r>
        <w:instrText xml:space="preserve"> ADDIN EN.CITE &lt;EndNote&gt;&lt;Cite&gt;&lt;Author&gt;Blochwitz&lt;/Author&gt;&lt;Year&gt;2011&lt;/Year&gt;&lt;RecNum&gt;6&lt;/RecNum&gt;&lt;DisplayText&gt;[9]&lt;/DisplayText&gt;&lt;record&gt;&lt;rec-number&gt;6&lt;/rec-number&gt;&lt;foreign-keys&gt;&lt;key app="EN" db-id="mdae8500109496fea4aff9c086e16cc25895" timestamp="1793216821"&gt;6&lt;/key&gt;&lt;/foreign-keys&gt;&lt;ref-type name="Conference Paper"&gt;47&lt;/ref-type&gt;&lt;contributors&gt;&lt;authors&gt;&lt;author&gt;Blochwitz, T.&lt;/author&gt;&lt;author&gt;Otter, M.&lt;/author&gt;&lt;author&gt;Arnold, M.&lt;/author&gt;&lt;author&gt;Bausch, C.&lt;/author&gt;&lt;author&gt;Clauss, C.&lt;/author&gt;&lt;author&gt;Elmqvist, H.&lt;/author&gt;&lt;author&gt;Junghanns, A.&lt;/author&gt;&lt;author&gt;Mauss, J.&lt;/author&gt;&lt;author&gt;Monteiro, M.&lt;/author&gt;&lt;author&gt;Neidhold, T.&lt;/author&gt;&lt;author&gt;Neumerkel, D.&lt;/author&gt;&lt;author&gt;Olsson, H.&lt;/author&gt;&lt;author&gt;Peetz, J.-V.&lt;/author&gt;&lt;author&gt;Wolf, S.&lt;/author&gt;&lt;/authors&gt;&lt;/contributors&gt;&lt;titles&gt;&lt;title&gt;The Functional Mockup Interface for Tool independent Exchange of Simulation Models&lt;/title&gt;&lt;secondary-title&gt;Proceedings of the 8th International Modelica Conference&lt;/secondary-title&gt;&lt;/titles&gt;&lt;pages&gt;105-114&lt;/pages&gt;&lt;volume&gt;63&lt;/volume&gt;&lt;dates&gt;&lt;year&gt;2011&lt;/year&gt;&lt;/dates&gt;&lt;pub-location&gt;Dresden, Germany&lt;/pub-location&gt;&lt;publisher&gt;Linköping University Electronic Press&lt;/publisher&gt;&lt;label&gt;blochwitz2011&lt;/label&gt;&lt;urls&gt;&lt;/urls&gt;&lt;electronic-resource-num&gt;10.3384/ecp11063105&lt;/electronic-resource-num&gt;&lt;/record&gt;&lt;/Cite&gt;&lt;/EndNote&gt;</w:instrText>
      </w:r>
      <w:r>
        <w:fldChar w:fldCharType="separate"/>
      </w:r>
      <w:r>
        <w:rPr>
          <w:noProof/>
        </w:rPr>
        <w:t>[9]</w:t>
      </w:r>
      <w:r>
        <w:fldChar w:fldCharType="end"/>
      </w:r>
      <w:r>
        <w:t xml:space="preserve">. FMI 3.0 adds clocks, an event mode for co-simulation, early return from a step and an intermediate-update mode </w:t>
      </w:r>
      <w:r>
        <w:fldChar w:fldCharType="begin"/>
      </w:r>
      <w:r>
        <w:instrText xml:space="preserve"> ADDIN EN.CITE &lt;EndNote&gt;&lt;Cite&gt;&lt;Author&gt;Junghanns&lt;/Author&gt;&lt;Year&gt;2021&lt;/Year&gt;&lt;RecNum&gt;42&lt;/RecNum&gt;&lt;DisplayText&gt;[10]&lt;/DisplayText&gt;&lt;record&gt;&lt;rec-number&gt;42&lt;/rec-number&gt;&lt;foreign-keys&gt;&lt;key app="EN" db-id="mdae8500109496fea4aff9c086e16cc25895" timestamp="1793216821"&gt;42&lt;/key&gt;&lt;/foreign-keys&gt;&lt;ref-type name="Conference Paper"&gt;47&lt;/ref-type&gt;&lt;contributors&gt;&lt;authors&gt;&lt;author&gt;Junghanns, Andreas&lt;/author&gt;&lt;author&gt;Blochwitz, Torsten&lt;/author&gt;&lt;author&gt;Bertsch, Christian&lt;/author&gt;&lt;author&gt;Sommer, Torsten&lt;/author&gt;&lt;author&gt;Wernersson, Karl&lt;/author&gt;&lt;author&gt;Pillekeit, Andreas&lt;/author&gt;&lt;author&gt;Zacharias, Irina&lt;/author&gt;&lt;author&gt;Blesken, Matthias&lt;/author&gt;&lt;author&gt;Mai, Pierre R.&lt;/author&gt;&lt;author&gt;Schuch, Klaus&lt;/author&gt;&lt;author&gt;Schulze, Christian&lt;/author&gt;&lt;author&gt;Gomes, Cláudio&lt;/author&gt;&lt;author&gt;Najafi, Masoud&lt;/author&gt;&lt;/authors&gt;&lt;/contributors&gt;&lt;titles&gt;&lt;title&gt;The Functional Mock-up Interface 3.0 – New Features Enabling New Applications&lt;/title&gt;&lt;secondary-title&gt;Proceedings of the 14th International Modelica Conference&lt;/secondary-title&gt;&lt;/titles&gt;&lt;pages&gt;17-26&lt;/pages&gt;&lt;volume&gt;181&lt;/volume&gt;&lt;dates&gt;&lt;year&gt;2021&lt;/year&gt;&lt;/dates&gt;&lt;pub-location&gt;Linköping, Sweden&lt;/pub-location&gt;&lt;publisher&gt;Linköping University Electronic Press&lt;/publisher&gt;&lt;label&gt;junghanns2021&lt;/label&gt;&lt;urls&gt;&lt;/urls&gt;&lt;electronic-resource-num&gt;10.3384/ecp2118117&lt;/electronic-resource-num&gt;&lt;/record&gt;&lt;/Cite&gt;&lt;/EndNote&gt;</w:instrText>
      </w:r>
      <w:r>
        <w:fldChar w:fldCharType="separate"/>
      </w:r>
      <w:r>
        <w:rPr>
          <w:noProof/>
        </w:rPr>
        <w:t>[10]</w:t>
      </w:r>
      <w:r>
        <w:fldChar w:fldCharType="end"/>
      </w:r>
      <w:r>
        <w:t xml:space="preserve">. Discrete inputs keep their values between communication points, and outputs are values at the unit’s current time. The System Structure and Parameterization (SSP) standard describes connections between units, including unit conversion </w:t>
      </w:r>
      <w:r>
        <w:fldChar w:fldCharType="begin"/>
      </w:r>
      <w:r>
        <w:instrText xml:space="preserve"> ADDIN EN.CITE &lt;EndNote&gt;&lt;Cite&gt;&lt;Author&gt;Modelica Association&lt;/Author&gt;&lt;Year&gt;2024&lt;/Year&gt;&lt;RecNum&gt;77&lt;/RecNum&gt;&lt;DisplayText&gt;[28]&lt;/DisplayText&gt;&lt;record&gt;&lt;rec-number&gt;77&lt;/rec-number&gt;&lt;foreign-keys&gt;&lt;key app="EN" db-id="mdae8500109496fea4aff9c086e16cc25895" timestamp="1793216821"&gt;77&lt;/key&gt;&lt;/foreign-keys&gt;&lt;ref-type name="Standard"&gt;58&lt;/ref-type&gt;&lt;contributors&gt;&lt;authors&gt;&lt;author&gt;Modelica Association&lt;/author&gt;&lt;/authors&gt;&lt;/contributors&gt;&lt;titles&gt;&lt;title&gt;System Structure and Parameterization (SSP), Version 2.0&lt;/title&gt;&lt;/titles&gt;&lt;dates&gt;&lt;year&gt;2024&lt;/year&gt;&lt;/dates&gt;&lt;label&gt;ssp2_2024&lt;/label&gt;&lt;urls&gt;&lt;related-urls&gt;&lt;url&gt;https://ssp-standard.org/docs/2.0/&lt;/url&gt;&lt;/related-urls&gt;&lt;/urls&gt;&lt;/record&gt;&lt;/Cite&gt;&lt;/EndNote&gt;</w:instrText>
      </w:r>
      <w:r>
        <w:fldChar w:fldCharType="separate"/>
      </w:r>
      <w:r>
        <w:rPr>
          <w:noProof/>
        </w:rPr>
        <w:t>[28]</w:t>
      </w:r>
      <w:r>
        <w:fldChar w:fldCharType="end"/>
      </w:r>
      <w:r>
        <w:t xml:space="preserve">. Neither standard says whether an output is an average or a total over the communication step.</w:t>
      </w:r>
    </w:p>
    <w:p>
      <w:pPr>
        <w:pStyle w:val="BodyText"/>
      </w:pPr>
      <w:r>
        <w:t xml:space="preserve">How the units are stepped is the job of a master algorithm. Kübler and Schiehlen compared Jacobi and Gauss–Seidel coupling and the role of direct feedthrough </w:t>
      </w:r>
      <w:r>
        <w:fldChar w:fldCharType="begin"/>
      </w:r>
      <w:r>
        <w:instrText xml:space="preserve"> ADDIN EN.CITE &lt;EndNote&gt;&lt;Cite&gt;&lt;Author&gt;Kübler&lt;/Author&gt;&lt;Year&gt;2000&lt;/Year&gt;&lt;RecNum&gt;47&lt;/RecNum&gt;&lt;DisplayText&gt;[22]&lt;/DisplayText&gt;&lt;record&gt;&lt;rec-number&gt;47&lt;/rec-number&gt;&lt;foreign-keys&gt;&lt;key app="EN" db-id="mdae8500109496fea4aff9c086e16cc25895" timestamp="1793216821"&gt;47&lt;/key&gt;&lt;/foreign-keys&gt;&lt;ref-type name="Journal Article"&gt;17&lt;/ref-type&gt;&lt;contributors&gt;&lt;authors&gt;&lt;author&gt;Kübler, R.&lt;/author&gt;&lt;author&gt;Schiehlen, W.&lt;/author&gt;&lt;/authors&gt;&lt;/contributors&gt;&lt;titles&gt;&lt;title&gt;Two Methods of Simulator Coupling&lt;/title&gt;&lt;secondary-title&gt;Mathematical and Computer Modelling of Dynamical Systems&lt;/secondary-title&gt;&lt;alt-title&gt;Math. Comput. Model. Dyn. Syst.&lt;/alt-title&gt;&lt;/titles&gt;&lt;periodical&gt;&lt;full-title&gt;Mathematical and Computer Modelling of Dynamical Systems&lt;/full-title&gt;&lt;abbr-1&gt;Math. Comput. Model. Dyn. Syst.&lt;/abbr-1&gt;&lt;/periodical&gt;&lt;pages&gt;93-113&lt;/pages&gt;&lt;volume&gt;6&lt;/volume&gt;&lt;number&gt;2&lt;/number&gt;&lt;dates&gt;&lt;year&gt;2000&lt;/year&gt;&lt;/dates&gt;&lt;publisher&gt;Taylor &amp;amp; Francis&lt;/publisher&gt;&lt;label&gt;kubler2000&lt;/label&gt;&lt;urls&gt;&lt;/urls&gt;&lt;electronic-resource-num&gt;10.1076/1387-3954(200006)6:2;1-M;FT093&lt;/electronic-resource-num&gt;&lt;/record&gt;&lt;/Cite&gt;&lt;/EndNote&gt;</w:instrText>
      </w:r>
      <w:r>
        <w:fldChar w:fldCharType="separate"/>
      </w:r>
      <w:r>
        <w:rPr>
          <w:noProof/>
        </w:rPr>
        <w:t>[22]</w:t>
      </w:r>
      <w:r>
        <w:fldChar w:fldCharType="end"/>
      </w:r>
      <w:r>
        <w:t xml:space="preserve">. Broman et al. stated the conditions under which a master composing FMUs gives determinate results </w:t>
      </w:r>
      <w:r>
        <w:fldChar w:fldCharType="begin"/>
      </w:r>
      <w:r>
        <w:instrText xml:space="preserve"> ADDIN EN.CITE &lt;EndNote&gt;&lt;Cite&gt;&lt;Author&gt;Broman&lt;/Author&gt;&lt;Year&gt;2013&lt;/Year&gt;&lt;RecNum&gt;8&lt;/RecNum&gt;&lt;DisplayText&gt;[29]&lt;/DisplayText&gt;&lt;record&gt;&lt;rec-number&gt;8&lt;/rec-number&gt;&lt;foreign-keys&gt;&lt;key app="EN" db-id="mdae8500109496fea4aff9c086e16cc25895" timestamp="1793216821"&gt;8&lt;/key&gt;&lt;/foreign-keys&gt;&lt;ref-type name="Conference Paper"&gt;47&lt;/ref-type&gt;&lt;contributors&gt;&lt;authors&gt;&lt;author&gt;Broman, David&lt;/author&gt;&lt;author&gt;Brooks, Christopher&lt;/author&gt;&lt;author&gt;Greenberg, Lev&lt;/author&gt;&lt;author&gt;Lee, Edward A.&lt;/author&gt;&lt;author&gt;Masin, Michael&lt;/author&gt;&lt;author&gt;Tripakis, Stavros&lt;/author&gt;&lt;author&gt;Wetter, Michael&lt;/author&gt;&lt;/authors&gt;&lt;/contributors&gt;&lt;titles&gt;&lt;title&gt;Determinate composition of FMUs for co-simulation&lt;/title&gt;&lt;secondary-title&gt;2013 Proceedings of the International Conference on Embedded Software (EMSOFT)&lt;/secondary-title&gt;&lt;/titles&gt;&lt;pages&gt;1-12&lt;/pages&gt;&lt;dates&gt;&lt;year&gt;2013&lt;/year&gt;&lt;/dates&gt;&lt;pub-location&gt;Montreal, QC, Canada&lt;/pub-location&gt;&lt;publisher&gt;IEEE&lt;/publisher&gt;&lt;label&gt;broman2013&lt;/label&gt;&lt;urls&gt;&lt;/urls&gt;&lt;electronic-resource-num&gt;10.1109/EMSOFT.2013.6658580&lt;/electronic-resource-num&gt;&lt;/record&gt;&lt;/Cite&gt;&lt;/EndNote&gt;</w:instrText>
      </w:r>
      <w:r>
        <w:fldChar w:fldCharType="separate"/>
      </w:r>
      <w:r>
        <w:rPr>
          <w:noProof/>
        </w:rPr>
        <w:t>[29]</w:t>
      </w:r>
      <w:r>
        <w:fldChar w:fldCharType="end"/>
      </w:r>
      <w:r>
        <w:t xml:space="preserve">, and Gomes et al. surveyed the field, including how signals are reconstructed between communication points by holding or extrapolating them </w:t>
      </w:r>
      <w:r>
        <w:fldChar w:fldCharType="begin"/>
      </w:r>
      <w:r>
        <w:instrText xml:space="preserve"> ADDIN EN.CITE &lt;EndNote&gt;&lt;Cite&gt;&lt;Author&gt;Gomes&lt;/Author&gt;&lt;Year&gt;2018&lt;/Year&gt;&lt;RecNum&gt;26&lt;/RecNum&gt;&lt;DisplayText&gt;[7]&lt;/DisplayText&gt;&lt;record&gt;&lt;rec-number&gt;26&lt;/rec-number&gt;&lt;foreign-keys&gt;&lt;key app="EN" db-id="mdae8500109496fea4aff9c086e16cc25895" timestamp="1793216821"&gt;26&lt;/key&gt;&lt;/foreign-keys&gt;&lt;ref-type name="Journal Article"&gt;17&lt;/ref-type&gt;&lt;contributors&gt;&lt;authors&gt;&lt;author&gt;Gomes, Cláudio&lt;/author&gt;&lt;author&gt;Thule, Casper&lt;/author&gt;&lt;author&gt;Broman, David&lt;/author&gt;&lt;author&gt;Larsen, Peter Gorm&lt;/author&gt;&lt;author&gt;Vangheluwe, Hans&lt;/author&gt;&lt;/authors&gt;&lt;/contributors&gt;&lt;titles&gt;&lt;title&gt;Co-Simulation: A Survey&lt;/title&gt;&lt;secondary-title&gt;ACM Computing Surveys&lt;/secondary-title&gt;&lt;alt-title&gt;ACM Comput. Surv.&lt;/alt-title&gt;&lt;/titles&gt;&lt;periodical&gt;&lt;full-title&gt;ACM Computing Surveys&lt;/full-title&gt;&lt;abbr-1&gt;ACM Comput. Surv.&lt;/abbr-1&gt;&lt;/periodical&gt;&lt;pages&gt;49&lt;/pages&gt;&lt;volume&gt;51&lt;/volume&gt;&lt;number&gt;3&lt;/number&gt;&lt;dates&gt;&lt;year&gt;2018&lt;/year&gt;&lt;/dates&gt;&lt;publisher&gt;ACM&lt;/publisher&gt;&lt;label&gt;gomes2018&lt;/label&gt;&lt;urls&gt;&lt;/urls&gt;&lt;electronic-resource-num&gt;10.1145/3179993&lt;/electronic-resource-num&gt;&lt;/record&gt;&lt;/Cite&gt;&lt;/EndNote&gt;</w:instrText>
      </w:r>
      <w:r>
        <w:fldChar w:fldCharType="separate"/>
      </w:r>
      <w:r>
        <w:rPr>
          <w:noProof/>
        </w:rPr>
        <w:t>[7]</w:t>
      </w:r>
      <w:r>
        <w:fldChar w:fldCharType="end"/>
      </w:r>
      <w:r>
        <w:t xml:space="preserve">. Energy-residual methods reduce the physical coupling error of explicit co-simulation by feeding back or monitoring the energy that extrapolation loses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fldChar w:fldCharType="begin"/>
      </w:r>
      <w:r>
        <w:instrText xml:space="preserve"> ADDIN EN.CITE &lt;EndNote&gt;&lt;Cite&gt;&lt;Author&gt;IEEE&lt;/Author&gt;&lt;Year&gt;2010&lt;/Year&gt;&lt;RecNum&gt;38&lt;/RecNum&gt;&lt;DisplayText&gt;[32,33]&lt;/DisplayText&gt;&lt;record&gt;&lt;rec-number&gt;38&lt;/rec-number&gt;&lt;foreign-keys&gt;&lt;key app="EN" db-id="mdae8500109496fea4aff9c086e16cc25895" timestamp="1793216821"&gt;38&lt;/key&gt;&lt;/foreign-keys&gt;&lt;ref-type name="Standard"&gt;58&lt;/ref-type&gt;&lt;contributors&gt;&lt;authors&gt;&lt;author&gt;IEEE&lt;/author&gt;&lt;/authors&gt;&lt;/contributors&gt;&lt;titles&gt;&lt;title&gt;IEEE Standard for Modeling and Simulation (M&amp;amp;S) High Level Architecture (HLA) – Framework and Rules&lt;/title&gt;&lt;secondary-title&gt;IEEE Std 1516-2010&lt;/secondary-title&gt;&lt;/titles&gt;&lt;dates&gt;&lt;year&gt;2010&lt;/year&gt;&lt;/dates&gt;&lt;isbn&gt;978-0-7381-6251-5&lt;/isbn&gt;&lt;label&gt;ieee1516_2010&lt;/label&gt;&lt;urls&gt;&lt;related-urls&gt;&lt;url&gt;https://ieeexplore.ieee.org/document/5553440&lt;/url&gt;&lt;/related-urls&gt;&lt;/urls&gt;&lt;electronic-resource-num&gt;10.1109/IEEESTD.2010.5553440&lt;/electronic-resource-num&gt;&lt;/record&gt;&lt;/Cite&gt;&lt;Cite&gt;&lt;Author&gt;Fujimoto&lt;/Author&gt;&lt;Year&gt;2000&lt;/Year&gt;&lt;RecNum&gt;25&lt;/RecNum&gt;&lt;record&gt;&lt;rec-number&gt;25&lt;/rec-number&gt;&lt;foreign-keys&gt;&lt;key app="EN" db-id="mdae8500109496fea4aff9c086e16cc25895" timestamp="1793216821"&gt;25&lt;/key&gt;&lt;/foreign-keys&gt;&lt;ref-type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Sons&lt;/publisher&gt;&lt;isbn&gt;978-0-471-18383-9&lt;/isbn&gt;&lt;label&gt;fujimoto2000&lt;/label&gt;&lt;urls&gt;&lt;/urls&gt;&lt;/record&gt;&lt;/Cite&gt;&lt;/EndNote&gt;</w:instrText>
      </w:r>
      <w:r>
        <w:fldChar w:fldCharType="separate"/>
      </w:r>
      <w:r>
        <w:rPr>
          <w:noProof/>
        </w:rPr>
        <w:t>[32,33]</w:t>
      </w:r>
      <w:r>
        <w:fldChar w:fldCharType="end"/>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dGFtcD0iMTc5MzIxNjgyMSI+Njg8L2tleT48L2ZvcmVpZ24ta2V5cz48cmVmLXR5cGUgbmFtZT0i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NzkzMjE2ODIxIj4yOTwva2V5PjwvZm9yZWlnbi1rZXlzPjxyZWYtdHlwZSBuYW1lPSJKb3VybmFs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MTY4MjEiPjMxPC9rZXk+PC9mb3JlaWduLWtleXM+PHJlZi10eXBlIG5hbWU9IldlYiBQYWdlIj4x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 </w:instrTex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dGFtcD0iMTc5MzIxNjgyMSI+Njg8L2tleT48L2ZvcmVpZ24ta2V5cz48cmVmLXR5cGUgbmFtZT0i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NzkzMjE2ODIxIj4yOTwva2V5PjwvZm9yZWlnbi1rZXlzPjxyZWYtdHlwZSBuYW1lPSJKb3VybmFs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MTY4MjEiPjMxPC9rZXk+PC9mb3JlaWduLWtleXM+PHJlZi10eXBlIG5hbWU9IldlYiBQYWdlIj4x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EN.CITE.DATA </w:instrText>
      </w:r>
      <w:r>
        <w:fldChar w:fldCharType="end"/>
      </w:r>
      <w:r>
        <w:fldChar w:fldCharType="separate"/>
      </w:r>
      <w:r>
        <w:rPr>
          <w:noProof/>
        </w:rPr>
        <w:t>[17,18,34]</w:t>
      </w:r>
      <w:r>
        <w:fldChar w:fldCharType="end"/>
      </w:r>
      <w:r>
        <w:t xml:space="preserve">. mosaik 3 combines time-stepped and event-based simulators and supports time-shifted connections </w:t>
      </w:r>
      <w:r>
        <w:fldChar w:fldCharType="begin"/>
      </w:r>
      <w:r>
        <w:instrText xml:space="preserve"> ADDIN EN.CITE &lt;EndNote&gt;&lt;Cite&gt;&lt;Author&gt;Ofenloch&lt;/Author&gt;&lt;Year&gt;2022&lt;/Year&gt;&lt;RecNum&gt;62&lt;/RecNum&gt;&lt;DisplayText&gt;[20,35]&lt;/DisplayText&gt;&lt;record&gt;&lt;rec-number&gt;62&lt;/rec-number&gt;&lt;foreign-keys&gt;&lt;key app="EN" db-id="mdae8500109496fea4aff9c086e16cc25895" timestamp="1793216821"&gt;62&lt;/key&gt;&lt;/foreign-keys&gt;&lt;ref-type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Cite&gt;&lt;Author&gt;OFFIS&lt;/Author&gt;&lt;Year&gt;2025&lt;/Year&gt;&lt;RecNum&gt;56&lt;/RecNum&gt;&lt;record&gt;&lt;rec-number&gt;56&lt;/rec-number&gt;&lt;foreign-keys&gt;&lt;key app="EN" db-id="mdae8500109496fea4aff9c086e16cc25895" timestamp="1793216821"&gt;56&lt;/key&gt;&lt;/foreign-keys&gt;&lt;ref-type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[20,35]</w:t>
      </w:r>
      <w:r>
        <w:fldChar w:fldCharType="end"/>
      </w:r>
      <w:r>
        <w:t xml:space="preserve">. Publish/subscribe middleware has also been used for power-system co-simulation </w: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MjE2ODIxIj44NDwva2V5PjwvZm9yZWlnbi1rZXlzPjxyZWYtdHlwZSBuYW1lPSJKb3VybmFsIEFy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ZTE2Y2MyNTg5NSIgdGltZXN0YW1wPSIxNzkzMjE2ODIxIj42Nzwva2V5PjwvZm9yZWlnbi1rZXlz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 </w:instrTex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MjE2ODIxIj44NDwva2V5PjwvZm9yZWlnbi1rZXlzPjxyZWYtdHlwZSBuYW1lPSJKb3VybmFsIEFy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ZTE2Y2MyNTg5NSIgdGltZXN0YW1wPSIxNzkzMjE2ODIxIj42Nzwva2V5PjwvZm9yZWlnbi1rZXlz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EN.CITE.DATA </w:instrText>
      </w:r>
      <w:r>
        <w:fldChar w:fldCharType="end"/>
      </w:r>
      <w:r>
        <w:fldChar w:fldCharType="separate"/>
      </w:r>
      <w:r>
        <w:rPr>
          <w:noProof/>
        </w:rPr>
        <w:t>[36,37]</w:t>
      </w:r>
      <w:r>
        <w:fldChar w:fldCharType="end"/>
      </w:r>
      <w:r>
        <w:t xml:space="preserve">, and VOLTTRON organizes building devices in a topic tree </w:t>
      </w:r>
      <w:r>
        <w:fldChar w:fldCharType="begin"/>
      </w:r>
      <w:r>
        <w:instrText xml:space="preserve"> ADDIN EN.CITE &lt;EndNote&gt;&lt;Cite&gt;&lt;Author&gt;Katipamula&lt;/Author&gt;&lt;Year&gt;2016&lt;/Year&gt;&lt;RecNum&gt;44&lt;/RecNum&gt;&lt;DisplayText&gt;[38]&lt;/DisplayText&gt;&lt;record&gt;&lt;rec-number&gt;44&lt;/rec-number&gt;&lt;foreign-keys&gt;&lt;key app="EN" db-id="mdae8500109496fea4aff9c086e16cc25895" timestamp="1793216821"&gt;44&lt;/key&gt;&lt;/foreign-keys&gt;&lt;ref-type name="Journal Article"&gt;17&lt;/ref-type&gt;&lt;contributors&gt;&lt;authors&gt;&lt;author&gt;Katipamula, Srinivas&lt;/author&gt;&lt;author&gt;Haack, Jereme&lt;/author&gt;&lt;author&gt;Hernandez, George&lt;/author&gt;&lt;author&gt;Akyol, Bora&lt;/author&gt;&lt;author&gt;Hagerman, Joseph&lt;/author&gt;&lt;/authors&gt;&lt;/contributors&gt;&lt;titles&gt;&lt;title&gt;VOLTTRON: An Open-Source Software Platform of the Future&lt;/title&gt;&lt;secondary-title&gt;IEEE Electrification Magazine&lt;/secondary-title&gt;&lt;alt-title&gt;IEEE Electrif. Mag.&lt;/alt-title&gt;&lt;/titles&gt;&lt;periodical&gt;&lt;full-title&gt;IEEE Electrification Magazine&lt;/full-title&gt;&lt;abbr-1&gt;IEEE Electrif. Mag.&lt;/abbr-1&gt;&lt;/periodical&gt;&lt;pages&gt;15-22&lt;/pages&gt;&lt;volume&gt;4&lt;/volume&gt;&lt;number&gt;4&lt;/number&gt;&lt;dates&gt;&lt;year&gt;2016&lt;/year&gt;&lt;/dates&gt;&lt;publisher&gt;IEEE&lt;/publisher&gt;&lt;label&gt;katipamula2016&lt;/label&gt;&lt;urls&gt;&lt;/urls&gt;&lt;electronic-resource-num&gt;10.1109/MELE.2016.2614178&lt;/electronic-resource-num&gt;&lt;/record&gt;&lt;/Cite&gt;&lt;/EndNote&gt;</w:instrText>
      </w:r>
      <w:r>
        <w:fldChar w:fldCharType="separate"/>
      </w:r>
      <w:r>
        <w:rPr>
          <w:noProof/>
        </w:rPr>
        <w:t>[38]</w:t>
      </w:r>
      <w:r>
        <w:fldChar w:fldCharType="end"/>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fldChar w:fldCharType="begin"/>
      </w:r>
      <w:r>
        <w:instrText xml:space="preserve"> ADDIN EN.CITE &lt;EndNote&gt;&lt;Cite&gt;&lt;Author&gt;HELICS developers (GMLC-TDC)&lt;/Author&gt;&lt;Year&gt;2026&lt;/Year&gt;&lt;RecNum&gt;31&lt;/RecNum&gt;&lt;DisplayText&gt;[34,35]&lt;/DisplayText&gt;&lt;record&gt;&lt;rec-number&gt;31&lt;/rec-number&gt;&lt;foreign-keys&gt;&lt;key app="EN" db-id="mdae8500109496fea4aff9c086e16cc25895" timestamp="1793216821"&gt;31&lt;/key&gt;&lt;/foreign-keys&gt;&lt;ref-type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Cite&gt;&lt;Author&gt;OFFIS&lt;/Author&gt;&lt;Year&gt;2025&lt;/Year&gt;&lt;RecNum&gt;56&lt;/RecNum&gt;&lt;record&gt;&lt;rec-number&gt;56&lt;/rec-number&gt;&lt;foreign-keys&gt;&lt;key app="EN" db-id="mdae8500109496fea4aff9c086e16cc25895" timestamp="1793216821"&gt;56&lt;/key&gt;&lt;/foreign-keys&gt;&lt;ref-type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[34,35]</w:t>
      </w:r>
      <w:r>
        <w:fldChar w:fldCharType="end"/>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fldChar w:fldCharType="begin"/>
      </w:r>
      <w:r>
        <w:instrText xml:space="preserve"> ADDIN EN.CITE &lt;EndNote&gt;&lt;Cite&gt;&lt;Author&gt;Wetter&lt;/Author&gt;&lt;Year&gt;2011&lt;/Year&gt;&lt;RecNum&gt;85&lt;/RecNum&gt;&lt;DisplayText&gt;[11,39]&lt;/DisplayText&gt;&lt;record&gt;&lt;rec-number&gt;85&lt;/rec-number&gt;&lt;foreign-keys&gt;&lt;key app="EN" db-id="mdae8500109496fea4aff9c086e16cc25895" timestamp="1793216821"&gt;85&lt;/key&gt;&lt;/foreign-keys&gt;&lt;ref-type name="Journal Article"&gt;17&lt;/ref-type&gt;&lt;contributors&gt;&lt;authors&gt;&lt;author&gt;Wetter, Michael&lt;/author&gt;&lt;/authors&gt;&lt;/contributors&gt;&lt;titles&gt;&lt;title&gt;Co-simulation of building energy and control systems with the Building Controls Virtual Test Bed&lt;/title&gt;&lt;secondary-title&gt;Journal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Simul.&lt;/abbr-1&gt;&lt;/periodical&gt;&lt;pages&gt;185-203&lt;/pages&gt;&lt;volume&gt;4&lt;/volume&gt;&lt;number&gt;3&lt;/number&gt;&lt;dates&gt;&lt;year&gt;2011&lt;/year&gt;&lt;/dates&gt;&lt;publisher&gt;Taylor &amp;amp; Francis&lt;/publisher&gt;&lt;label&gt;wetter2011&lt;/label&gt;&lt;urls&gt;&lt;/urls&gt;&lt;electronic-resource-num&gt;10.1080/19401493.2010.518631&lt;/electronic-resource-num&gt;&lt;/record&gt;&lt;/Cite&gt;&lt;Cite&gt;&lt;Author&gt;U.S. Department of Energy&lt;/Author&gt;&lt;Year&gt;2018&lt;/Year&gt;&lt;RecNum&gt;18&lt;/RecNum&gt;&lt;record&gt;&lt;rec-number&gt;18&lt;/rec-number&gt;&lt;foreign-keys&gt;&lt;key app="EN" db-id="mdae8500109496fea4aff9c086e16cc25895" timestamp="1793216821"&gt;18&lt;/key&gt;&lt;/foreign-keys&gt;&lt;ref-type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EndNote&gt;</w:instrText>
      </w:r>
      <w:r>
        <w:fldChar w:fldCharType="separate"/>
      </w:r>
      <w:r>
        <w:rPr>
          <w:noProof/>
        </w:rPr>
        <w:t>[11,39]</w:t>
      </w:r>
      <w:r>
        <w:fldChar w:fldCharType="end"/>
      </w:r>
      <w:r>
        <w:t xml:space="preserve">, and EnergyPlus FMU export requires the EnergyPlus time steps per hour to match the FMU sampling time </w: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MTc5MzIxNjgyMSI+NTk8L2tleT48L2ZvcmVpZ24ta2V5cz48cmVmLXR5cGUgbmFtZT0iSm91cm5h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YWZmOWMwODZlMTZjYzI1ODk1IiB0aW1lc3RhbXA9IjE3OTMyMTY4MjEiPjQ4PC9rZXk+PC9mb3Jl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 </w:instrTex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MTc5MzIxNjgyMSI+NTk8L2tleT48L2ZvcmVpZ24ta2V5cz48cmVmLXR5cGUgbmFtZT0iSm91cm5h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YWZmOWMwODZlMTZjYzI1ODk1IiB0aW1lc3RhbXA9IjE3OTMyMTY4MjEiPjQ4PC9rZXk+PC9mb3Jl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EN.CITE.DATA </w:instrText>
      </w:r>
      <w:r>
        <w:fldChar w:fldCharType="end"/>
      </w:r>
      <w:r>
        <w:fldChar w:fldCharType="separate"/>
      </w:r>
      <w:r>
        <w:rPr>
          <w:noProof/>
        </w:rPr>
        <w:t>[12,40]</w:t>
      </w:r>
      <w:r>
        <w:fldChar w:fldCharType="end"/>
      </w:r>
      <w:r>
        <w:t xml:space="preserve">. Spawn of EnergyPlus couples Modelica HVAC and controls with EnergyPlus envelope models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timestamp="1793216821"&gt;86&lt;/key&gt;&lt;/foreign-keys&gt;&lt;ref-type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Recent EnergyPlus versions offer Python interfaces, including an API through which a Python program drives EnergyPlus from callbacks </w:t>
      </w:r>
      <w:r>
        <w:fldChar w:fldCharType="begin"/>
      </w:r>
      <w:r>
        <w:instrText xml:space="preserve"> ADDIN EN.CITE &lt;EndNote&gt;&lt;Cite&gt;&lt;Author&gt;U.S. Department of Energy&lt;/Author&gt;&lt;Year&gt;2022&lt;/Year&gt;&lt;RecNum&gt;19&lt;/RecNum&gt;&lt;DisplayText&gt;[41]&lt;/DisplayText&gt;&lt;record&gt;&lt;rec-number&gt;19&lt;/rec-number&gt;&lt;foreign-keys&gt;&lt;key app="EN" db-id="mdae8500109496fea4aff9c086e16cc25895" timestamp="1793216821"&gt;19&lt;/key&gt;&lt;/foreign-keys&gt;&lt;ref-type name="Web Page"&gt;12&lt;/ref-type&gt;&lt;contributors&gt;&lt;authors&gt;&lt;author&gt;U.S. Department of Energy&lt;/author&gt;&lt;/authors&gt;&lt;/contributors&gt;&lt;titles&gt;&lt;title&gt;EnergyPlus Input Output Reference: Group – Python Plugins / Python EMS&lt;/title&gt;&lt;/titles&gt;&lt;dates&gt;&lt;year&gt;2022&lt;/year&gt;&lt;/dates&gt;&lt;label&gt;doe2022&lt;/label&gt;&lt;urls&gt;&lt;related-urls&gt;&lt;url&gt;https://bigladdersoftware.com/epx/docs/22-2/input-output-reference/group-python-plugins.html&lt;/url&gt;&lt;/related-urls&gt;&lt;/urls&gt;&lt;access-date&gt;2026-10-28&lt;/access-date&gt;&lt;/record&gt;&lt;/Cite&gt;&lt;/EndNote&gt;</w:instrText>
      </w:r>
      <w:r>
        <w:fldChar w:fldCharType="separate"/>
      </w:r>
      <w:r>
        <w:rPr>
          <w:noProof/>
        </w:rPr>
        <w:t>[41]</w:t>
      </w:r>
      <w:r>
        <w:fldChar w:fldCharType="end"/>
      </w:r>
      <w:r>
        <w:t xml:space="preserve">; Sinergym and COBS build on them for control research </w: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dGltZXN0YW1wPSIxNzkzMjE2ODIxIj40MTwva2V5PjwvZm9yZWlnbi1rZXlzPjxyZWYtdHlwZSBu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OTMyMTY4MjEiPjk8L2tleT48L2ZvcmVpZ24ta2V5cz48cmVmLXR5cGUgbmFtZT0iSm91cm5hbCBB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MDg2ZTE2Y2MyNTg5NSIgdGltZXN0YW1wPSIxNzkzMjE2ODIxIj45MDwva2V5PjwvZm9yZWlnbi1r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 </w:instrTex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dGltZXN0YW1wPSIxNzkzMjE2ODIxIj40MTwva2V5PjwvZm9yZWlnbi1rZXlzPjxyZWYtdHlwZSBu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OTMyMTY4MjEiPjk8L2tleT48L2ZvcmVpZ24ta2V5cz48cmVmLXR5cGUgbmFtZT0iSm91cm5hbCBB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MDg2ZTE2Y2MyNTg5NSIgdGltZXN0YW1wPSIxNzkzMjE2ODIxIj45MDwva2V5PjwvZm9yZWlnbi1r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EN.CITE.DATA </w:instrText>
      </w:r>
      <w:r>
        <w:fldChar w:fldCharType="end"/>
      </w:r>
      <w:r>
        <w:fldChar w:fldCharType="separate"/>
      </w:r>
      <w:r>
        <w:rPr>
          <w:noProof/>
        </w:rPr>
        <w:t>[14,15,42]</w:t>
      </w:r>
      <w:r>
        <w:fldChar w:fldCharType="end"/>
      </w:r>
      <w:r>
        <w:t xml:space="preserve">, while Energym wraps EnergyPlus and Modelica models as FMUs </w:t>
      </w:r>
      <w:r>
        <w:fldChar w:fldCharType="begin"/>
      </w:r>
      <w:r>
        <w:instrText xml:space="preserve"> ADDIN EN.CITE &lt;EndNote&gt;&lt;Cite&gt;&lt;Author&gt;Scharnhorst&lt;/Author&gt;&lt;Year&gt;2021&lt;/Year&gt;&lt;RecNum&gt;75&lt;/RecNum&gt;&lt;DisplayText&gt;[43]&lt;/DisplayText&gt;&lt;record&gt;&lt;rec-number&gt;75&lt;/rec-number&gt;&lt;foreign-keys&gt;&lt;key app="EN" db-id="mdae8500109496fea4aff9c086e16cc25895" timestamp="1793216821"&gt;75&lt;/key&gt;&lt;/foreign-keys&gt;&lt;ref-type name="Journal Article"&gt;17&lt;/ref-type&gt;&lt;contributors&gt;&lt;authors&gt;&lt;author&gt;Scharnhorst, Paul&lt;/author&gt;&lt;author&gt;Schubnel, Baptiste&lt;/author&gt;&lt;author&gt;Fernández Bandera, Carlos&lt;/author&gt;&lt;author&gt;Salom, Jaume&lt;/author&gt;&lt;author&gt;Taddeo, Paolo&lt;/author&gt;&lt;author&gt;Boegli, Max&lt;/author&gt;&lt;author&gt;Gorecki, Tomasz&lt;/author&gt;&lt;author&gt;Stauffer, Yves&lt;/author&gt;&lt;author&gt;Peppas, Antonis&lt;/author&gt;&lt;author&gt;Politi, Chrysa&lt;/author&gt;&lt;/authors&gt;&lt;/contributors&gt;&lt;titles&gt;&lt;title&gt;Energym: A Building Model Library for Controller Benchmarking&lt;/title&gt;&lt;secondary-title&gt;Applied Sciences&lt;/secondary-title&gt;&lt;alt-title&gt;Appl. Sci.&lt;/alt-title&gt;&lt;/titles&gt;&lt;periodical&gt;&lt;full-title&gt;Applied Sciences&lt;/full-title&gt;&lt;abbr-1&gt;Appl. Sci.&lt;/abbr-1&gt;&lt;/periodical&gt;&lt;pages&gt;3518&lt;/pages&gt;&lt;volume&gt;11&lt;/volume&gt;&lt;number&gt;8&lt;/number&gt;&lt;dates&gt;&lt;year&gt;2021&lt;/year&gt;&lt;/dates&gt;&lt;publisher&gt;MDPI&lt;/publisher&gt;&lt;label&gt;scharnhorst2021&lt;/label&gt;&lt;urls&gt;&lt;/urls&gt;&lt;electronic-resource-num&gt;10.3390/app11083518&lt;/electronic-resource-num&gt;&lt;/record&gt;&lt;/Cite&gt;&lt;/EndNote&gt;</w:instrText>
      </w:r>
      <w:r>
        <w:fldChar w:fldCharType="separate"/>
      </w:r>
      <w:r>
        <w:rPr>
          <w:noProof/>
        </w:rPr>
        <w:t>[43]</w:t>
      </w:r>
      <w:r>
        <w:fldChar w:fldCharType="end"/>
      </w:r>
      <w:r>
        <w:t xml:space="preserve">. BOPTEST exposes test cases through a web API </w:t>
      </w:r>
      <w:r>
        <w:fldChar w:fldCharType="begin"/>
      </w:r>
      <w:r>
        <w:instrText xml:space="preserve"> ADDIN EN.CITE &lt;EndNote&gt;&lt;Cite&gt;&lt;Author&gt;Blum&lt;/Author&gt;&lt;Year&gt;2021&lt;/Year&gt;&lt;RecNum&gt;7&lt;/RecNum&gt;&lt;DisplayText&gt;[16]&lt;/DisplayText&gt;&lt;record&gt;&lt;rec-number&gt;7&lt;/rec-number&gt;&lt;foreign-keys&gt;&lt;key app="EN" db-id="mdae8500109496fea4aff9c086e16cc25895" timestamp="1793216821"&gt;7&lt;/key&gt;&lt;/foreign-keys&gt;&lt;ref-type name="Journal Article"&gt;17&lt;/ref-type&gt;&lt;contributors&gt;&lt;authors&gt;&lt;author&gt;Blum, David&lt;/author&gt;&lt;author&gt;Arroyo, Javier&lt;/author&gt;&lt;author&gt;Huang, Sen&lt;/author&gt;&lt;author&gt;Drgoňa, Ján&lt;/author&gt;&lt;author&gt;Jorissen, Filip&lt;/author&gt;&lt;author&gt;Walnum, Harald Taxt&lt;/author&gt;&lt;author&gt;Chen, Yan&lt;/author&gt;&lt;author&gt;Benne, Kyle&lt;/author&gt;&lt;author&gt;Vrabie, Draguna&lt;/author&gt;&lt;author&gt;Wetter, Michael&lt;/author&gt;&lt;author&gt;Helsen, Lieve&lt;/author&gt;&lt;/authors&gt;&lt;/contributors&gt;&lt;titles&gt;&lt;title&gt;Building optimization testing framework (BOPTEST) for simulation-based benchmarking of control strategies in buildings&lt;/title&gt;&lt;secondary-title&gt;Journal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Simul.&lt;/abbr-1&gt;&lt;/periodical&gt;&lt;pages&gt;586-610&lt;/pages&gt;&lt;volume&gt;14&lt;/volume&gt;&lt;number&gt;5&lt;/number&gt;&lt;dates&gt;&lt;year&gt;2021&lt;/year&gt;&lt;/dates&gt;&lt;publisher&gt;Taylor &amp;amp; Francis&lt;/publisher&gt;&lt;label&gt;blum2021&lt;/label&gt;&lt;urls&gt;&lt;/urls&gt;&lt;electronic-resource-num&gt;10.1080/19401493.2021.1986574&lt;/electronic-resource-num&gt;&lt;/record&gt;&lt;/Cite&gt;&lt;/EndNote&gt;</w:instrText>
      </w:r>
      <w:r>
        <w:fldChar w:fldCharType="separate"/>
      </w:r>
      <w:r>
        <w:rPr>
          <w:noProof/>
        </w:rPr>
        <w:t>[16]</w:t>
      </w:r>
      <w:r>
        <w:fldChar w:fldCharType="end"/>
      </w:r>
      <w:r>
        <w:t xml:space="preserve">, CityLearn targets district demand response </w:t>
      </w:r>
      <w:r>
        <w:fldChar w:fldCharType="begin"/>
      </w:r>
      <w:r>
        <w:instrText xml:space="preserve"> ADDIN EN.CITE &lt;EndNote&gt;&lt;Cite&gt;&lt;Author&gt;Nweye&lt;/Author&gt;&lt;Year&gt;2025&lt;/Year&gt;&lt;RecNum&gt;60&lt;/RecNum&gt;&lt;DisplayText&gt;[44]&lt;/DisplayText&gt;&lt;record&gt;&lt;rec-number&gt;60&lt;/rec-number&gt;&lt;foreign-keys&gt;&lt;key app="EN" db-id="mdae8500109496fea4aff9c086e16cc25895" timestamp="1793216821"&gt;60&lt;/key&gt;&lt;/foreign-keys&gt;&lt;ref-type name="Journal Article"&gt;17&lt;/ref-type&gt;&lt;contributors&gt;&lt;authors&gt;&lt;author&gt;Nweye, Kingsley&lt;/author&gt;&lt;author&gt;Kaspar, Kathryn&lt;/author&gt;&lt;author&gt;Buscemi, Giacomo&lt;/author&gt;&lt;author&gt;Fonseca, Tiago&lt;/author&gt;&lt;author&gt;Pinto, Giuseppe&lt;/author&gt;&lt;author&gt;Ghose, Dipanjan&lt;/author&gt;&lt;author&gt;Duddukuru, Satvik&lt;/author&gt;&lt;author&gt;Pratapa, Pavani&lt;/author&gt;&lt;author&gt;Li, Han&lt;/author&gt;&lt;author&gt;Mohammadi, Javad&lt;/author&gt;&lt;author&gt;Lino Ferreira, Luis&lt;/author&gt;&lt;author&gt;Hong, Tianzhen&lt;/author&gt;&lt;author&gt;Ouf, Mohamed&lt;/author&gt;&lt;author&gt;Capozzoli, Alfonso&lt;/author&gt;&lt;author&gt;Nagy, Zoltan&lt;/author&gt;&lt;/authors&gt;&lt;/contributors&gt;&lt;titles&gt;&lt;title&gt;CityLearn v2: energy-flexible, resilient, occupant-centric, and carbon-aware management of grid-interactive communities&lt;/title&gt;&lt;secondary-title&gt;Journal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Simul.&lt;/abbr-1&gt;&lt;/periodical&gt;&lt;pages&gt;17-38&lt;/pages&gt;&lt;volume&gt;18&lt;/volume&gt;&lt;number&gt;1&lt;/number&gt;&lt;dates&gt;&lt;year&gt;2025&lt;/year&gt;&lt;/dates&gt;&lt;publisher&gt;Taylor &amp;amp; Francis&lt;/publisher&gt;&lt;label&gt;nweye2025&lt;/label&gt;&lt;urls&gt;&lt;/urls&gt;&lt;electronic-resource-num&gt;10.1080/19401493.2024.2418813&lt;/electronic-resource-num&gt;&lt;/record&gt;&lt;/Cite&gt;&lt;/EndNote&gt;</w:instrText>
      </w:r>
      <w:r>
        <w:fldChar w:fldCharType="separate"/>
      </w:r>
      <w:r>
        <w:rPr>
          <w:noProof/>
        </w:rPr>
        <w:t>[44]</w:t>
      </w:r>
      <w:r>
        <w:fldChar w:fldCharType="end"/>
      </w:r>
      <w:r>
        <w:t xml:space="preserve">, and Alfalfa runs building models as a service that controllers read and write at run time </w:t>
      </w:r>
      <w:r>
        <w:fldChar w:fldCharType="begin"/>
      </w:r>
      <w:r>
        <w:instrText xml:space="preserve"> ADDIN EN.CITE &lt;EndNote&gt;&lt;Cite&gt;&lt;Author&gt;Benne&lt;/Author&gt;&lt;Year&gt;2024&lt;/Year&gt;&lt;RecNum&gt;4&lt;/RecNum&gt;&lt;DisplayText&gt;[45]&lt;/DisplayText&gt;&lt;record&gt;&lt;rec-number&gt;4&lt;/rec-number&gt;&lt;foreign-keys&gt;&lt;key app="EN" db-id="mdae8500109496fea4aff9c086e16cc25895" timestamp="1793216821"&gt;4&lt;/key&gt;&lt;/foreign-keys&gt;&lt;ref-type name="Report"&gt;27&lt;/ref-type&gt;&lt;contributors&gt;&lt;authors&gt;&lt;author&gt;Benne, Kyle&lt;/author&gt;&lt;author&gt;Shapinsky, Tobias&lt;/author&gt;&lt;author&gt;Petersen, Anya&lt;/author&gt;&lt;/authors&gt;&lt;/contributors&gt;&lt;titles&gt;&lt;title&gt;Alfalfa Virtual Building Service: Software Engineering Best Practices Applied to Runtime Interaction with Building Energy Models&lt;/title&gt;&lt;secondary-title&gt;IBPSA-USA SimBuild 2024 Conference, Denver, Colorado, 21–23 May 2024&lt;/secondary-title&gt;&lt;/titles&gt;&lt;dates&gt;&lt;year&gt;2024&lt;/year&gt;&lt;/dates&gt;&lt;pub-location&gt;Golden, CO&lt;/pub-location&gt;&lt;publisher&gt;National Renewable Energy Laboratory&lt;/publisher&gt;&lt;isbn&gt;NREL/PR-5500-89738&lt;/isbn&gt;&lt;label&gt;benne2024&lt;/label&gt;&lt;work-type&gt;Presentation&lt;/work-type&gt;&lt;urls&gt;&lt;related-urls&gt;&lt;url&gt;https://www.osti.gov/biblio/2407013&lt;/url&gt;&lt;/related-urls&gt;&lt;/urls&gt;&lt;/record&gt;&lt;/Cite&gt;&lt;/EndNote&gt;</w:instrText>
      </w:r>
      <w:r>
        <w:fldChar w:fldCharType="separate"/>
      </w:r>
      <w:r>
        <w:rPr>
          <w:noProof/>
        </w:rPr>
        <w:t>[45]</w:t>
      </w:r>
      <w:r>
        <w:fldChar w:fldCharType="end"/>
      </w:r>
      <w:r>
        <w:t xml:space="preserve">. These tools step synchronously or follow the wall clock; we found no time-meaning metadata, no record/replay of components and no asynchronous handling of slow AI calls in them.</w:t>
      </w:r>
    </w:p>
    <w:p>
      <w:pPr>
        <w:pStyle w:val="Heading2"/>
      </w:pPr>
      <w:r>
        <w:t xml:space="preserve">AI components in building simulation and control</w:t>
      </w:r>
    </w:p>
    <w:p>
      <w:pPr>
        <w:pStyle w:val="BodyText"/>
      </w:pPr>
      <w:r>
        <w:t xml:space="preserve">LLMs have been used to choose HVAC set-points </w:t>
      </w:r>
      <w:r>
        <w:fldChar w:fldCharType="begin"/>
      </w:r>
      <w:r>
        <w:instrText xml:space="preserve"> ADDIN EN.CITE &lt;EndNote&gt;&lt;Cite&gt;&lt;Author&gt;Ahn&lt;/Author&gt;&lt;Year&gt;2023&lt;/Year&gt;&lt;RecNum&gt;1&lt;/RecNum&gt;&lt;DisplayText&gt;[4]&lt;/DisplayText&gt;&lt;record&gt;&lt;rec-number&gt;1&lt;/rec-number&gt;&lt;foreign-keys&gt;&lt;key app="EN" db-id="mdae8500109496fea4aff9c086e16cc25895" timestamp="1793216821"&gt;1&lt;/key&gt;&lt;/foreign-keys&gt;&lt;ref-type name="Journal Article"&gt;17&lt;/ref-type&gt;&lt;contributors&gt;&lt;authors&gt;&lt;author&gt;Ahn, Ki Uhn&lt;/author&gt;&lt;author&gt;Kim, Deuk-Woo&lt;/author&gt;&lt;author&gt;Cho, Hyun Mi&lt;/author&gt;&lt;author&gt;Chae, Chang-U&lt;/author&gt;&lt;/authors&gt;&lt;/contributors&gt;&lt;titles&gt;&lt;title&gt;Alternative Approaches to HVAC Control of Chat Generative Pre-Trained Transformer (ChatGPT) for Autonomous Building System Operations&lt;/title&gt;&lt;secondary-title&gt;Buildings&lt;/secondary-title&gt;&lt;alt-title&gt;Buildings&lt;/alt-title&gt;&lt;/titles&gt;&lt;periodical&gt;&lt;full-title&gt;Buildings&lt;/full-title&gt;&lt;abbr-1&gt;Buildings&lt;/abbr-1&gt;&lt;/periodical&gt;&lt;pages&gt;2680&lt;/pages&gt;&lt;volume&gt;13&lt;/volume&gt;&lt;number&gt;11&lt;/number&gt;&lt;dates&gt;&lt;year&gt;2023&lt;/year&gt;&lt;/dates&gt;&lt;publisher&gt;MDPI&lt;/publisher&gt;&lt;label&gt;ahn2023&lt;/label&gt;&lt;urls&gt;&lt;/urls&gt;&lt;electronic-resource-num&gt;10.3390/buildings13112680&lt;/electronic-resource-num&gt;&lt;/record&gt;&lt;/Cite&gt;&lt;/EndNote&gt;</w:instrText>
      </w:r>
      <w:r>
        <w:fldChar w:fldCharType="separate"/>
      </w:r>
      <w:r>
        <w:rPr>
          <w:noProof/>
        </w:rPr>
        <w:t>[4]</w:t>
      </w:r>
      <w:r>
        <w:fldChar w:fldCharType="end"/>
      </w:r>
      <w:r>
        <w:t xml:space="preserve">, to explain and support ML-based control </w:t>
      </w:r>
      <w:r>
        <w:fldChar w:fldCharType="begin"/>
      </w:r>
      <w:r>
        <w:instrText xml:space="preserve"> ADDIN EN.CITE &lt;EndNote&gt;&lt;Cite&gt;&lt;Author&gt;Zhang&lt;/Author&gt;&lt;Year&gt;2024&lt;/Year&gt;&lt;RecNum&gt;94&lt;/RecNum&gt;&lt;DisplayText&gt;[5]&lt;/DisplayText&gt;&lt;record&gt;&lt;rec-number&gt;94&lt;/rec-number&gt;&lt;foreign-keys&gt;&lt;key app="EN" db-id="mdae8500109496fea4aff9c086e16cc25895" timestamp="1793216821"&gt;94&lt;/key&gt;&lt;/foreign-keys&gt;&lt;ref-type name="Journal Article"&gt;17&lt;/ref-type&gt;&lt;contributors&gt;&lt;authors&gt;&lt;author&gt;Zhang, Liang&lt;/author&gt;&lt;author&gt;Chen, Zhelun&lt;/author&gt;&lt;/authors&gt;&lt;/contributors&gt;&lt;titles&gt;&lt;title&gt;Large language model-based interpretable machine learning control in building energy systems&lt;/title&gt;&lt;secondary-title&gt;Energy and Buildings&lt;/secondary-title&gt;&lt;alt-title&gt;Energy Build.&lt;/alt-title&gt;&lt;/titles&gt;&lt;periodical&gt;&lt;full-title&gt;Energy and Buildings&lt;/full-title&gt;&lt;abbr-1&gt;Energy Build.&lt;/abbr-1&gt;&lt;/periodical&gt;&lt;pages&gt;114278&lt;/pages&gt;&lt;volume&gt;313&lt;/volume&gt;&lt;dates&gt;&lt;year&gt;2024&lt;/year&gt;&lt;/dates&gt;&lt;publisher&gt;Elsevier&lt;/publisher&gt;&lt;label&gt;zhangchen2024&lt;/label&gt;&lt;urls&gt;&lt;/urls&gt;&lt;electronic-resource-num&gt;10.1016/j.enbuild.2024.114278&lt;/electronic-resource-num&gt;&lt;/record&gt;&lt;/Cite&gt;&lt;/EndNote&gt;</w:instrText>
      </w:r>
      <w:r>
        <w:fldChar w:fldCharType="separate"/>
      </w:r>
      <w:r>
        <w:rPr>
          <w:noProof/>
        </w:rPr>
        <w:t>[5]</w:t>
      </w:r>
      <w:r>
        <w:fldChar w:fldCharType="end"/>
      </w:r>
      <w:r>
        <w:t xml:space="preserve">, in office-in-the-loop experiments </w:t>
      </w:r>
      <w:r>
        <w:fldChar w:fldCharType="begin"/>
      </w:r>
      <w:r>
        <w:instrText xml:space="preserve"> ADDIN EN.CITE &lt;EndNote&gt;&lt;Cite&gt;&lt;Author&gt;Sawada&lt;/Author&gt;&lt;Year&gt;2025&lt;/Year&gt;&lt;RecNum&gt;74&lt;/RecNum&gt;&lt;DisplayText&gt;[46]&lt;/DisplayText&gt;&lt;record&gt;&lt;rec-number&gt;74&lt;/rec-number&gt;&lt;foreign-keys&gt;&lt;key app="EN" db-id="mdae8500109496fea4aff9c086e16cc25895" timestamp="1793216821"&gt;74&lt;/key&gt;&lt;/foreign-keys&gt;&lt;ref-type name="Journal Article"&gt;17&lt;/ref-type&gt;&lt;contributors&gt;&lt;authors&gt;&lt;author&gt;Sawada, Tomoya&lt;/author&gt;&lt;author&gt;Mizuno, Masahiro&lt;/author&gt;&lt;author&gt;Hasegawa, Takaomi&lt;/author&gt;&lt;author&gt;Yokoyama, Keiichi&lt;/author&gt;&lt;author&gt;Kono, Mayuka&lt;/author&gt;&lt;/authors&gt;&lt;/contributors&gt;&lt;titles&gt;&lt;title&gt;Office-in-the-Loop: an investigation into Agentic AI for advanced building HVAC control systems&lt;/title&gt;&lt;secondary-title&gt;Data-Centric Engineering&lt;/secondary-title&gt;&lt;alt-title&gt;Data-Centric Eng.&lt;/alt-title&gt;&lt;/titles&gt;&lt;periodical&gt;&lt;full-title&gt;Data-Centric Engineering&lt;/full-title&gt;&lt;abbr-1&gt;Data-Centric Eng.&lt;/abbr-1&gt;&lt;/periodical&gt;&lt;pages&gt;e31&lt;/pages&gt;&lt;volume&gt;6&lt;/volume&gt;&lt;dates&gt;&lt;year&gt;2025&lt;/year&gt;&lt;/dates&gt;&lt;publisher&gt;Cambridge University Press&lt;/publisher&gt;&lt;label&gt;sawada2025&lt;/label&gt;&lt;urls&gt;&lt;/urls&gt;&lt;electronic-resource-num&gt;10.1017/dce.2025.10010&lt;/electronic-resource-num&gt;&lt;/record&gt;&lt;/Cite&gt;&lt;/EndNote&gt;</w:instrText>
      </w:r>
      <w:r>
        <w:fldChar w:fldCharType="separate"/>
      </w:r>
      <w:r>
        <w:rPr>
          <w:noProof/>
        </w:rPr>
        <w:t>[46]</w:t>
      </w:r>
      <w:r>
        <w:fldChar w:fldCharType="end"/>
      </w:r>
      <w:r>
        <w:t xml:space="preserve"> and to generate EnergyPlus models </w:t>
      </w:r>
      <w:r>
        <w:fldChar w:fldCharType="begin"/>
      </w:r>
      <w:r>
        <w:instrText xml:space="preserve"> ADDIN EN.CITE &lt;EndNote&gt;&lt;Cite&gt;&lt;Author&gt;Jiang&lt;/Author&gt;&lt;Year&gt;2024&lt;/Year&gt;&lt;RecNum&gt;40&lt;/RecNum&gt;&lt;DisplayText&gt;[47]&lt;/DisplayText&gt;&lt;record&gt;&lt;rec-number&gt;40&lt;/rec-number&gt;&lt;foreign-keys&gt;&lt;key app="EN" db-id="mdae8500109496fea4aff9c086e16cc25895" timestamp="1793216821"&gt;40&lt;/key&gt;&lt;/foreign-keys&gt;&lt;ref-type name="Journal Article"&gt;17&lt;/ref-type&gt;&lt;contributors&gt;&lt;authors&gt;&lt;author&gt;Jiang, Gang&lt;/author&gt;&lt;author&gt;Ma, Zhihao&lt;/author&gt;&lt;author&gt;Zhang, Liang&lt;/author&gt;&lt;author&gt;Chen, Jianli&lt;/author&gt;&lt;/authors&gt;&lt;/contributors&gt;&lt;titles&gt;&lt;title&gt;EPlus-LLM: A large language model-based computing platform for automated building energy modeling&lt;/title&gt;&lt;secondary-title&gt;Applied Energy&lt;/secondary-title&gt;&lt;alt-title&gt;Appl. Energy&lt;/alt-title&gt;&lt;/titles&gt;&lt;periodical&gt;&lt;full-title&gt;Applied Energy&lt;/full-title&gt;&lt;abbr-1&gt;Appl. Energy&lt;/abbr-1&gt;&lt;/periodical&gt;&lt;pages&gt;123431&lt;/pages&gt;&lt;volume&gt;367&lt;/volume&gt;&lt;dates&gt;&lt;year&gt;2024&lt;/year&gt;&lt;/dates&gt;&lt;publisher&gt;Elsevier&lt;/publisher&gt;&lt;label&gt;jiang2024&lt;/label&gt;&lt;urls&gt;&lt;/urls&gt;&lt;electronic-resource-num&gt;10.1016/j.apenergy.2024.123431&lt;/electronic-resource-num&gt;&lt;/record&gt;&lt;/Cite&gt;&lt;/EndNote&gt;</w:instrText>
      </w:r>
      <w:r>
        <w:fldChar w:fldCharType="separate"/>
      </w:r>
      <w:r>
        <w:rPr>
          <w:noProof/>
        </w:rPr>
        <w:t>[47]</w:t>
      </w:r>
      <w:r>
        <w:fldChar w:fldCharType="end"/>
      </w:r>
      <w:r>
        <w:t xml:space="preserve">; reviews summarize opportunities and risks </w: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MTY4MjEiPjUxPC9rZXk+PC9mb3JlaWduLWtleXM+PHJlZi10eXBlIG5hbWU9IkpvdXJuYWwgQXJ0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NSIgdGltZXN0YW1wPSIxNzkzMjE2ODIxIj41Nzwva2V5PjwvZm9yZWlnbi1rZXlzPjxyZWYtdHlw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 </w:instrTex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MTY4MjEiPjUxPC9rZXk+PC9mb3JlaWduLWtleXM+PHJlZi10eXBlIG5hbWU9IkpvdXJuYWwgQXJ0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NSIgdGltZXN0YW1wPSIxNzkzMjE2ODIxIj41Nzwva2V5PjwvZm9yZWlnbi1rZXlzPjxyZWYtdHlw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EN.CITE.DATA </w:instrText>
      </w:r>
      <w:r>
        <w:fldChar w:fldCharType="end"/>
      </w:r>
      <w:r>
        <w:fldChar w:fldCharType="separate"/>
      </w:r>
      <w:r>
        <w:rPr>
          <w:noProof/>
        </w:rPr>
        <w:t>[6,26]</w:t>
      </w:r>
      <w:r>
        <w:fldChar w:fldCharType="end"/>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timestamp="1793216821"&gt;10&lt;/key&gt;&lt;/foreign-keys&gt;&lt;ref-type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WaterML 2.0 gives every time series an interpolation type such as average, total or constant in the preceding or succeeding interval </w:t>
      </w:r>
      <w:r>
        <w:fldChar w:fldCharType="begin"/>
      </w:r>
      <w:r>
        <w:instrText xml:space="preserve"> ADDIN EN.CITE &lt;EndNote&gt;&lt;Cite&gt;&lt;Author&gt;Open Geospatial Consortium&lt;/Author&gt;&lt;Year&gt;2014&lt;/Year&gt;&lt;RecNum&gt;63&lt;/RecNum&gt;&lt;DisplayText&gt;[49]&lt;/DisplayText&gt;&lt;record&gt;&lt;rec-number&gt;63&lt;/rec-number&gt;&lt;foreign-keys&gt;&lt;key app="EN" db-id="mdae8500109496fea4aff9c086e16cc25895" timestamp="1793216821"&gt;63&lt;/key&gt;&lt;/foreign-keys&gt;&lt;ref-type name="Standard"&gt;58&lt;/ref-type&gt;&lt;contributors&gt;&lt;authors&gt;&lt;author&gt;Open Geospatial Consortium&lt;/author&gt;&lt;/authors&gt;&lt;secondary-authors&gt;&lt;author&gt;Taylor, Peter&lt;/author&gt;&lt;/secondary-authors&gt;&lt;/contributors&gt;&lt;titles&gt;&lt;title&gt;OGC WaterML 2.0: Part 1 – Timeseries, Version 2.0.1&lt;/title&gt;&lt;secondary-title&gt;OGC 10-126r4&lt;/secondary-title&gt;&lt;/titles&gt;&lt;dates&gt;&lt;year&gt;2014&lt;/year&gt;&lt;/dates&gt;&lt;label&gt;ogc_waterml2014&lt;/label&gt;&lt;urls&gt;&lt;related-urls&gt;&lt;url&gt;https://docs.ogc.org/is/10-126r4/10-126r4.pdf&lt;/url&gt;&lt;/related-urls&gt;&lt;/urls&gt;&lt;/record&gt;&lt;/Cite&gt;&lt;/EndNote&gt;</w:instrText>
      </w:r>
      <w:r>
        <w:fldChar w:fldCharType="separate"/>
      </w:r>
      <w:r>
        <w:rPr>
          <w:noProof/>
        </w:rPr>
        <w:t>[49]</w:t>
      </w:r>
      <w:r>
        <w:fldChar w:fldCharType="end"/>
      </w:r>
      <w:r>
        <w:t xml:space="preserve">; and EnergyPlus classifies its output variables as averaged or summed when reporting at coarser frequencies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timestamp="1793216821"&gt;20&lt;/key&gt;&lt;/foreign-keys&gt;&lt;ref-type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Industrial communication standards attach a quality to every value, for example the OPC UA status codes for last usable and substitute values </w:t>
      </w:r>
      <w:r>
        <w:fldChar w:fldCharType="begin"/>
      </w:r>
      <w:r>
        <w:instrText xml:space="preserve"> ADDIN EN.CITE &lt;EndNote&gt;&lt;Cite&gt;&lt;Author&gt;OPC Foundation&lt;/Author&gt;&lt;Year&gt;2026&lt;/Year&gt;&lt;RecNum&gt;65&lt;/RecNum&gt;&lt;DisplayText&gt;[50]&lt;/DisplayText&gt;&lt;record&gt;&lt;rec-number&gt;65&lt;/rec-number&gt;&lt;foreign-keys&gt;&lt;key app="EN" db-id="mdae8500109496fea4aff9c086e16cc25895" timestamp="1793216821"&gt;65&lt;/key&gt;&lt;/foreign-keys&gt;&lt;ref-type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EndNote&gt;</w:instrText>
      </w:r>
      <w:r>
        <w:fldChar w:fldCharType="separate"/>
      </w:r>
      <w:r>
        <w:rPr>
          <w:noProof/>
        </w:rPr>
        <w:t>[50]</w:t>
      </w:r>
      <w:r>
        <w:fldChar w:fldCharType="end"/>
      </w:r>
      <w:r>
        <w:t xml:space="preserve">. Provenance models such as W3C PROV describe which activity produced which entity from which inputs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timestamp="1793216821"&gt;55&lt;/key&gt;&lt;/foreign-keys&gt;&lt;ref-type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 Deterministic record and replay is a standard debugging technique </w:t>
      </w:r>
      <w:r>
        <w:fldChar w:fldCharType="begin"/>
      </w:r>
      <w:r>
        <w:instrText xml:space="preserve"> ADDIN EN.CITE &lt;EndNote&gt;&lt;Cite&gt;&lt;Author&gt;Chen&lt;/Author&gt;&lt;Year&gt;2015&lt;/Year&gt;&lt;RecNum&gt;12&lt;/RecNum&gt;&lt;DisplayText&gt;[52]&lt;/DisplayText&gt;&lt;record&gt;&lt;rec-number&gt;12&lt;/rec-number&gt;&lt;foreign-keys&gt;&lt;key app="EN" db-id="mdae8500109496fea4aff9c086e16cc25895" timestamp="1793216821"&gt;12&lt;/key&gt;&lt;/foreign-keys&gt;&lt;ref-type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EndNote&gt;</w:instrText>
      </w:r>
      <w:r>
        <w:fldChar w:fldCharType="separate"/>
      </w:r>
      <w:r>
        <w:rPr>
          <w:noProof/>
        </w:rPr>
        <w:t>[52]</w:t>
      </w:r>
      <w:r>
        <w:fldChar w:fldCharType="end"/>
      </w:r>
      <w:r>
        <w:t xml:space="preserve"> and has recently been applied to LLM agents </w:t>
      </w:r>
      <w:r>
        <w:fldChar w:fldCharType="begin"/>
      </w:r>
      <w:r>
        <w:instrText xml:space="preserve"> ADDIN EN.CITE &lt;EndNote&gt;&lt;Cite&gt;&lt;Author&gt;Feng&lt;/Author&gt;&lt;Year&gt;2025&lt;/Year&gt;&lt;RecNum&gt;21&lt;/RecNum&gt;&lt;DisplayText&gt;[53]&lt;/DisplayText&gt;&lt;record&gt;&lt;rec-number&gt;21&lt;/rec-number&gt;&lt;foreign-keys&gt;&lt;key app="EN" db-id="mdae8500109496fea4aff9c086e16cc25895" timestamp="1793216821"&gt;21&lt;/key&gt;&lt;/foreign-keys&gt;&lt;ref-type name="Generic"&gt;13&lt;/ref-type&gt;&lt;contributors&gt;&lt;authors&gt;&lt;author&gt;Feng, Erhu&lt;/author&gt;&lt;author&gt;Zhou, Wenbo&lt;/author&gt;&lt;author&gt;Liu, Zibin&lt;/author&gt;&lt;author&gt;Chen, Le&lt;/author&gt;&lt;author&gt;Dong, Yunpeng&lt;/author&gt;&lt;author&gt;Zhang, Cheng&lt;/author&gt;&lt;author&gt;Zhao, Yisheng&lt;/author&gt;&lt;author&gt;Du, Dong&lt;/author&gt;&lt;author&gt;Hua, Zhichao&lt;/author&gt;&lt;author&gt;Xia, Yubin&lt;/author&gt;&lt;author&gt;Chen, Haibo&lt;/author&gt;&lt;/authors&gt;&lt;/contributors&gt;&lt;titles&gt;&lt;title&gt;Get Experience from Practice: LLM Agents with Record &amp;amp; Replay&lt;/title&gt;&lt;secondary-title&gt;arXiv&lt;/secondary-title&gt;&lt;/titles&gt;&lt;dates&gt;&lt;year&gt;2025&lt;/year&gt;&lt;/dates&gt;&lt;label&gt;feng2025agentrr&lt;/label&gt;&lt;work-type&gt;arXiv:2505.17716&lt;/work-type&gt;&lt;urls&gt;&lt;related-urls&gt;&lt;url&gt;https://arxiv.org/abs/2505.17716&lt;/url&gt;&lt;/related-urls&gt;&lt;/urls&gt;&lt;electronic-resource-num&gt;10.48550/arXiv.2505.17716&lt;/electronic-resource-num&gt;&lt;/record&gt;&lt;/Cite&gt;&lt;/EndNote&gt;</w:instrText>
      </w:r>
      <w:r>
        <w:fldChar w:fldCharType="separate"/>
      </w:r>
      <w:r>
        <w:rPr>
          <w:noProof/>
        </w:rPr>
        <w:t>[53]</w:t>
      </w:r>
      <w:r>
        <w:fldChar w:fldCharType="end"/>
      </w:r>
      <w:r>
        <w:t xml:space="preserve">. Finally, real-time systems separate when a task’s outputs take effect from how long it actually runs: Giotto fixes this logical execution time </w:t>
      </w:r>
      <w:r>
        <w:fldChar w:fldCharType="begin"/>
      </w:r>
      <w:r>
        <w:instrText xml:space="preserve"> ADDIN EN.CITE &lt;EndNote&gt;&lt;Cite&gt;&lt;Author&gt;Henzinger&lt;/Author&gt;&lt;Year&gt;2003&lt;/Year&gt;&lt;RecNum&gt;33&lt;/RecNum&gt;&lt;DisplayText&gt;[54]&lt;/DisplayText&gt;&lt;record&gt;&lt;rec-number&gt;33&lt;/rec-number&gt;&lt;foreign-keys&gt;&lt;key app="EN" db-id="mdae8500109496fea4aff9c086e16cc25895" timestamp="1793216821"&gt;33&lt;/key&gt;&lt;/foreign-keys&gt;&lt;ref-type name="Journal Article"&gt;17&lt;/ref-type&gt;&lt;contributors&gt;&lt;authors&gt;&lt;author&gt;Henzinger, T. A.&lt;/author&gt;&lt;author&gt;Horowitz, B.&lt;/author&gt;&lt;author&gt;Kirsch, C. M.&lt;/author&gt;&lt;/authors&gt;&lt;/contributors&gt;&lt;titles&gt;&lt;title&gt;Giotto: a time-triggered language for embedded programming&lt;/title&gt;&lt;secondary-title&gt;Proceedings of the IEEE&lt;/secondary-title&gt;&lt;alt-title&gt;Proc. IEEE&lt;/alt-title&gt;&lt;/titles&gt;&lt;periodical&gt;&lt;full-title&gt;Proceedings of the IEEE&lt;/full-title&gt;&lt;abbr-1&gt;Proc. IEEE&lt;/abbr-1&gt;&lt;/periodical&gt;&lt;pages&gt;84-99&lt;/pages&gt;&lt;volume&gt;91&lt;/volume&gt;&lt;number&gt;1&lt;/number&gt;&lt;dates&gt;&lt;year&gt;2003&lt;/year&gt;&lt;/dates&gt;&lt;publisher&gt;IEEE&lt;/publisher&gt;&lt;label&gt;henzinger2003&lt;/label&gt;&lt;urls&gt;&lt;/urls&gt;&lt;electronic-resource-num&gt;10.1109/JPROC.2002.805825&lt;/electronic-resource-num&gt;&lt;/record&gt;&lt;/Cite&gt;&lt;/EndNote&gt;</w:instrText>
      </w:r>
      <w:r>
        <w:fldChar w:fldCharType="separate"/>
      </w:r>
      <w:r>
        <w:rPr>
          <w:noProof/>
        </w:rPr>
        <w:t>[54]</w:t>
      </w:r>
      <w:r>
        <w:fldChar w:fldCharType="end"/>
      </w:r>
      <w:r>
        <w:t xml:space="preserve">, and Lingua Franca runs a deadline handler when a reaction is late </w:t>
      </w:r>
      <w:r>
        <w:fldChar w:fldCharType="begin"/>
      </w:r>
      <w:r>
        <w:instrText xml:space="preserve"> ADDIN EN.CITE &lt;EndNote&gt;&lt;Cite&gt;&lt;Author&gt;Lohstroh&lt;/Author&gt;&lt;Year&gt;2021&lt;/Year&gt;&lt;RecNum&gt;53&lt;/RecNum&gt;&lt;DisplayText&gt;[55]&lt;/DisplayText&gt;&lt;record&gt;&lt;rec-number&gt;53&lt;/rec-number&gt;&lt;foreign-keys&gt;&lt;key app="EN" db-id="mdae8500109496fea4aff9c086e16cc25895" timestamp="1793216821"&gt;53&lt;/key&gt;&lt;/foreign-keys&gt;&lt;ref-type name="Journal Article"&gt;17&lt;/ref-type&gt;&lt;contributors&gt;&lt;authors&gt;&lt;author&gt;Lohstroh, Marten&lt;/author&gt;&lt;author&gt;Menard, Christian&lt;/author&gt;&lt;author&gt;Bateni, Soroush&lt;/author&gt;&lt;author&gt;Lee, Edward A.&lt;/author&gt;&lt;/authors&gt;&lt;/contributors&gt;&lt;titles&gt;&lt;title&gt;Toward a Lingua Franca for Deterministic Concurrent Systems&lt;/title&gt;&lt;secondary-title&gt;ACM Transactions on Embedded Computing Systems&lt;/secondary-title&gt;&lt;alt-title&gt;ACM Trans. Embed. Comput. Syst.&lt;/alt-title&gt;&lt;/titles&gt;&lt;periodical&gt;&lt;full-title&gt;ACM Transactions on Embedded Computing Systems&lt;/full-title&gt;&lt;abbr-1&gt;ACM Trans. Embed. Comput. Syst.&lt;/abbr-1&gt;&lt;/periodical&gt;&lt;pages&gt;1-27&lt;/pages&gt;&lt;volume&gt;20&lt;/volume&gt;&lt;number&gt;4&lt;/number&gt;&lt;dates&gt;&lt;year&gt;2021&lt;/year&gt;&lt;/dates&gt;&lt;publisher&gt;ACM&lt;/publisher&gt;&lt;label&gt;lohstroh2021&lt;/label&gt;&lt;urls&gt;&lt;/urls&gt;&lt;electronic-resource-num&gt;10.1145/3448128&lt;/electronic-resource-num&gt;&lt;/record&gt;&lt;/Cite&gt;&lt;/EndNote&gt;</w:instrText>
      </w:r>
      <w:r>
        <w:fldChar w:fldCharType="separate"/>
      </w:r>
      <w:r>
        <w:rPr>
          <w:noProof/>
        </w:rPr>
        <w:t>[55]</w:t>
      </w:r>
      <w:r>
        <w:fldChar w:fldCharType="end"/>
      </w:r>
      <w:r>
        <w:t xml:space="preserve">. TIDE brings these ideas into building co-simulation. </w:t>
      </w:r>
      <w:r>
        <w:t xml:space="preserve">Table </w:t>
      </w:r>
      <w:r>
        <w:fldChar w:fldCharType="begin"/>
      </w:r>
      <w:r>
        <w:instrText xml:space="preserve"> REF _Ref_tbl_features \h </w:instrText>
      </w:r>
      <w:r>
        <w:fldChar w:fldCharType="separate"/>
      </w:r>
      <w:r>
        <w:t>1</w:t>
      </w:r>
      <w:r>
        <w:fldChar w:fldCharType="end"/>
      </w:r>
      <w:r>
        <w:t xml:space="preserve"> compares it with representative tools.</w:t>
      </w:r>
    </w:p>
    <w:p>
      <w:pPr>
        <w:pStyle w:val="TableCaption"/>
      </w:pPr>
      <w:r>
        <w:rPr>
          <w:b/>
          <w:bCs/>
        </w:rPr>
        <w:t xml:space="preserve">Table </w:t>
      </w:r>
      <w:bookmarkStart w:id="3" w:name="_Ref_tbl_features"/>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3"/>
      <w:r>
        <w:rPr>
          <w:b/>
          <w:bCs/>
        </w:rPr>
        <w:t xml:space="preserve">.</w:t>
      </w:r>
      <w:r>
        <w:t xml:space="preserve"> </w:t>
      </w:r>
      <w:r>
        <w:t xml:space="preserve">Comparison of Py-CoSim (TIDE)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(TIDE)</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TIDE: co-simulation through time-aware messages</w:t>
      </w:r>
      <w:bookmarkEnd w:id="4"/>
    </w:p>
    <w:p>
      <w:pPr>
        <w:pStyle w:val="Heading2"/>
      </w:pPr>
      <w:r>
        <w:t xml:space="preserve">Overview</w:t>
      </w:r>
    </w:p>
    <w:p>
      <w:pPr>
        <w:pStyle w:val="BodyText"/>
      </w:pPr>
      <w:r>
        <w:t xml:space="preserve">A Py-CoSim co-simulation consists of components and TIDE (</w:t>
      </w:r>
      <w:r>
        <w:t xml:space="preserve">Fig. </w:t>
      </w:r>
      <w:r>
        <w:fldChar w:fldCharType="begin"/>
      </w:r>
      <w:r>
        <w:instrText xml:space="preserve"> REF _Ref_fig_concept \h </w:instrText>
      </w:r>
      <w:r>
        <w:fldChar w:fldCharType="separate"/>
      </w:r>
      <w:r>
        <w:t>1</w:t>
      </w:r>
      <w:r>
        <w:fldChar w:fldCharType="end"/>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TIDE has two parts. The </w:t>
      </w:r>
      <w:r>
        <w:rPr>
          <w:i/>
          <w:iCs/>
        </w:rPr>
        <w:t xml:space="preserve">messaging</w:t>
      </w:r>
      <w:r>
        <w:t xml:space="preserve"> part stores every message with its time meaning and answers time-aware queries. The </w:t>
      </w:r>
      <w:r>
        <w:rPr>
          <w:i/>
          <w:iCs/>
        </w:rPr>
        <w:t xml:space="preserve">management</w:t>
      </w:r>
      <w:r>
        <w:t xml:space="preserve"> part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220000" cy="2397918"/>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220000" cy="2397918"/>
                    </a:xfrm>
                    <a:prstGeom prst="rect">
                      <a:avLst/>
                    </a:prstGeom>
                  </pic:spPr>
                </pic:pic>
              </a:graphicData>
            </a:graphic>
          </wp:inline>
        </w:drawing>
      </w:r>
    </w:p>
    <w:p>
      <w:pPr>
        <w:pStyle w:val="Caption"/>
      </w:pPr>
      <w:r>
        <w:rPr>
          <w:b/>
          <w:bCs/>
        </w:rPr>
        <w:t xml:space="preserve">Fig. </w:t>
      </w:r>
      <w:bookmarkStart w:id="5" w:name="_Ref_fig_concept"/>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TIDE,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fldChar w:fldCharType="begin"/>
      </w:r>
      <w:r>
        <w:instrText xml:space="preserve"> SEQ Equation \* ARABIC </w:instrText>
      </w:r>
      <w:r>
        <w:fldChar w:fldCharType="separate"/>
      </w:r>
      <w:r>
        <w:t>1</w:t>
      </w:r>
      <w:r>
        <w:fldChar w:fldCharType="end"/>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fldChar w:fldCharType="begin"/>
      </w:r>
      <w:r>
        <w:instrText xml:space="preserve"> REF _Ref_tbl_kinds \h </w:instrText>
      </w:r>
      <w:r>
        <w:fldChar w:fldCharType="separate"/>
      </w:r>
      <w:r>
        <w:t>2</w:t>
      </w:r>
      <w:r>
        <w:fldChar w:fldCharType="end"/>
      </w:r>
      <w:r>
        <w:t xml:space="preserve">).</w:t>
      </w:r>
    </w:p>
    <w:p>
      <w:pPr>
        <w:pStyle w:val="TableCaption"/>
      </w:pPr>
      <w:r>
        <w:rPr>
          <w:b/>
          <w:bCs/>
        </w:rPr>
        <w:t xml:space="preserve">Table </w:t>
      </w:r>
      <w:bookmarkStart w:id="7" w:name="_Ref_tbl_kinds"/>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A component can also publish messages with explicit validity, for example a price announced for a future hour.</w:t>
      </w:r>
    </w:p>
    <w:p>
      <w:pPr>
        <w:pStyle w:val="BodyText"/>
      </w:pPr>
      <w:r>
        <w:t xml:space="preserve">From the messages of a port, TIDE reconstructs a signal </w:t>
      </w:r>
      <m:oMath>
        <m:acc>
          <m:accPr>
            <m:chr m:val="̂"/>
          </m:accPr>
          <m:e>
            <m:r>
              <w:rPr>
                <w:rFonts w:ascii="Cambria Math" w:hAnsi="Cambria Math"/>
              </w:rPr>
              <m:t xml:space="preserve">x</m:t>
            </m:r>
          </m:e>
        </m:acc>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which is what conventional tools deliver),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TIDE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fldChar w:fldCharType="begin"/>
      </w:r>
      <w:r>
        <w:instrText xml:space="preserve"> SEQ Equation \* ARABIC </w:instrText>
      </w:r>
      <w:r>
        <w:fldChar w:fldCharType="separate"/>
      </w:r>
      <w:r>
        <w:t>2</w:t>
      </w:r>
      <w:r>
        <w:fldChar w:fldCharType="end"/>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fldChar w:fldCharType="begin"/>
      </w:r>
      <w:r>
        <w:instrText xml:space="preserve"> SEQ Equation \* ARABIC </w:instrText>
      </w:r>
      <w:r>
        <w:fldChar w:fldCharType="separate"/>
      </w:r>
      <w:r>
        <w:t>3</w:t>
      </w:r>
      <w:r>
        <w:fldChar w:fldCharType="end"/>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fldChar w:fldCharType="begin"/>
      </w:r>
      <w:r>
        <w:instrText xml:space="preserve"> REF _Ref_fig_timeline \h </w:instrText>
      </w:r>
      <w:r>
        <w:fldChar w:fldCharType="separate"/>
      </w:r>
      <w:r>
        <w:t>2</w:t>
      </w:r>
      <w:r>
        <w:fldChar w:fldCharType="end"/>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Figure"/>
      </w:pPr>
      <w:r>
        <w:drawing>
          <wp:inline distT="0" distB="0" distL="0" distR="0">
            <wp:extent cx="5040000" cy="2491711"/>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040000" cy="2491711"/>
                    </a:xfrm>
                    <a:prstGeom prst="rect">
                      <a:avLst/>
                    </a:prstGeom>
                  </pic:spPr>
                </pic:pic>
              </a:graphicData>
            </a:graphic>
          </wp:inline>
        </w:drawing>
      </w:r>
    </w:p>
    <w:p>
      <w:pPr>
        <w:pStyle w:val="Caption"/>
      </w:pPr>
      <w:r>
        <w:rPr>
          <w:b/>
          <w:bCs/>
        </w:rPr>
        <w:t xml:space="preserve">Fig. </w:t>
      </w:r>
      <w:bookmarkStart w:id="10" w:name="_Ref_fig_timeline"/>
      <w:r>
        <w:rPr>
          <w:b/>
          <w:bCs/>
        </w:rPr>
        <w:fldChar w:fldCharType="begin"/>
      </w:r>
      <w:r>
        <w:rPr>
          <w:b/>
          <w:bCs/>
        </w:rPr>
        <w:instrText xml:space="preserve"> SEQ Figure \* ARABIC </w:instrText>
      </w:r>
      <w:r>
        <w:rPr>
          <w:b/>
          <w:bCs/>
        </w:rPr>
        <w:fldChar w:fldCharType="separate"/>
      </w:r>
      <w:r>
        <w:rPr>
          <w:b/>
          <w:bCs/>
        </w:rPr>
        <w:t>2</w:t>
      </w:r>
      <w:r>
        <w:rPr>
          <w:b/>
          <w:bCs/>
        </w:rPr>
        <w:fldChar w:fldCharType="end"/>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TIDE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fldChar w:fldCharType="begin"/>
      </w:r>
      <w:r>
        <w:instrText xml:space="preserve"> ADDIN EN.CITE &lt;EndNote&gt;&lt;Cite&gt;&lt;Author&gt;Fujimoto&lt;/Author&gt;&lt;Year&gt;2000&lt;/Year&gt;&lt;RecNum&gt;25&lt;/RecNum&gt;&lt;DisplayText&gt;[20,33]&lt;/DisplayText&gt;&lt;record&gt;&lt;rec-number&gt;25&lt;/rec-number&gt;&lt;foreign-keys&gt;&lt;key app="EN" db-id="mdae8500109496fea4aff9c086e16cc25895" timestamp="1793216821"&gt;25&lt;/key&gt;&lt;/foreign-keys&gt;&lt;ref-type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Cite&gt;&lt;Author&gt;Ofenloch&lt;/Author&gt;&lt;Year&gt;2022&lt;/Year&gt;&lt;RecNum&gt;62&lt;/RecNum&gt;&lt;record&gt;&lt;rec-number&gt;62&lt;/rec-number&gt;&lt;foreign-keys&gt;&lt;key app="EN" db-id="mdae8500109496fea4aff9c086e16cc25895" timestamp="1793216821"&gt;62&lt;/key&gt;&lt;/foreign-keys&gt;&lt;ref-type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Germany&lt;/pub-location&gt;&lt;publisher&gt;IEEE&lt;/publisher&gt;&lt;label&gt;ofenloch2022&lt;/label&gt;&lt;urls&gt;&lt;/urls&gt;&lt;electronic-resource-num&gt;10.1109/OSMSES54027.2022.9769116&lt;/electronic-resource-num&gt;&lt;/record&gt;&lt;/Cite&gt;&lt;/EndNote&gt;</w:instrText>
      </w:r>
      <w:r>
        <w:fldChar w:fldCharType="separate"/>
      </w:r>
      <w:r>
        <w:rPr>
          <w:noProof/>
        </w:rPr>
        <w:t>[20,33]</w:t>
      </w:r>
      <w:r>
        <w:fldChar w:fldCharType="end"/>
      </w:r>
      <w:r>
        <w:t xml:space="preserve">. Remaining cycles are reported with their path.</w:t>
      </w:r>
    </w:p>
    <w:p>
      <w:pPr>
        <w:pStyle w:val="Heading2"/>
      </w:pPr>
      <w:r>
        <w:t xml:space="preserve">Message handling for AI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IEC 61850 </w:t>
      </w:r>
      <w:r>
        <w:fldChar w:fldCharType="begin"/>
      </w:r>
      <w:r>
        <w:instrText xml:space="preserve"> ADDIN EN.CITE &lt;EndNote&gt;&lt;Cite&gt;&lt;Author&gt;OPC Foundation&lt;/Author&gt;&lt;Year&gt;2026&lt;/Year&gt;&lt;RecNum&gt;65&lt;/RecNum&gt;&lt;DisplayText&gt;[50,56]&lt;/DisplayText&gt;&lt;record&gt;&lt;rec-number&gt;65&lt;/rec-number&gt;&lt;foreign-keys&gt;&lt;key app="EN" db-id="mdae8500109496fea4aff9c086e16cc25895" timestamp="1793216821"&gt;65&lt;/key&gt;&lt;/foreign-keys&gt;&lt;ref-type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Cite&gt;&lt;Author&gt;International Electrotechnical Commission&lt;/Author&gt;&lt;Year&gt;2010&lt;/Year&gt;&lt;RecNum&gt;36&lt;/RecNum&gt;&lt;record&gt;&lt;rec-number&gt;36&lt;/rec-number&gt;&lt;foreign-keys&gt;&lt;key app="EN" db-id="mdae8500109496fea4aff9c086e16cc25895" timestamp="1793216821"&gt;36&lt;/key&gt;&lt;/foreign-keys&gt;&lt;ref-type name="Standard"&gt;58&lt;/ref-type&gt;&lt;contributors&gt;&lt;authors&gt;&lt;author&gt;International Electrotechnical Commission&lt;/author&gt;&lt;/authors&gt;&lt;/contributors&gt;&lt;titles&gt;&lt;title&gt;Communication networks and systems for power utility automation – Part 7-3: Basic communication structure – Common data classes&lt;/title&gt;&lt;secondary-title&gt;IEC 61850-7-3:2010, Edition 2.0&lt;/secondary-title&gt;&lt;/titles&gt;&lt;dates&gt;&lt;year&gt;2010&lt;/year&gt;&lt;/dates&gt;&lt;isbn&gt;978-2-88912-258-5&lt;/isbn&gt;&lt;label&gt;iec61850_7_3&lt;/label&gt;&lt;urls&gt;&lt;related-urls&gt;&lt;url&gt;https://webstore.iec.ch/en/publication/6016&lt;/url&gt;&lt;/related-urls&gt;&lt;/urls&gt;&lt;/record&gt;&lt;/Cite&gt;&lt;/EndNote&gt;</w:instrText>
      </w:r>
      <w:r>
        <w:fldChar w:fldCharType="separate"/>
      </w:r>
      <w:r>
        <w:rPr>
          <w:noProof/>
        </w:rPr>
        <w:t>[50,56]</w:t>
      </w:r>
      <w:r>
        <w:fldChar w:fldCharType="end"/>
      </w:r>
      <w:r>
        <w:t xml:space="preserve">, and results include a count per port. The LLM supervisor of Py-CoSim additionally parses and validates the model’s JSON answer,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recorded AI decisions into a modified system, for example a retrofitted building, gives a counterfactual in which the AI’s randomness is held fixed. Record/replay is an established technique, and HELICS offers a recorder and player </w:t>
      </w:r>
      <w:r>
        <w:fldChar w:fldCharType="begin"/>
      </w:r>
      <w:r>
        <w:instrText xml:space="preserve"> ADDIN EN.CITE &lt;EndNote&gt;&lt;Cite&gt;&lt;Author&gt;Chen&lt;/Author&gt;&lt;Year&gt;2015&lt;/Year&gt;&lt;RecNum&gt;12&lt;/RecNum&gt;&lt;DisplayText&gt;[34,52]&lt;/DisplayText&gt;&lt;record&gt;&lt;rec-number&gt;12&lt;/rec-number&gt;&lt;foreign-keys&gt;&lt;key app="EN" db-id="mdae8500109496fea4aff9c086e16cc25895" timestamp="1793216821"&gt;12&lt;/key&gt;&lt;/foreign-keys&gt;&lt;ref-type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Cite&gt;&lt;Author&gt;HELICS developers (GMLC-TDC)&lt;/Author&gt;&lt;Year&gt;2026&lt;/Year&gt;&lt;RecNum&gt;31&lt;/RecNum&gt;&lt;record&gt;&lt;rec-number&gt;31&lt;/rec-number&gt;&lt;foreign-keys&gt;&lt;key app="EN" db-id="mdae8500109496fea4aff9c086e16cc25895" timestamp="1793216821"&gt;31&lt;/key&gt;&lt;/foreign-keys&gt;&lt;ref-type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EndNote&gt;</w:instrText>
      </w:r>
      <w:r>
        <w:fldChar w:fldCharType="separate"/>
      </w:r>
      <w:r>
        <w:rPr>
          <w:noProof/>
        </w:rPr>
        <w:t>[34,52]</w:t>
      </w:r>
      <w:r>
        <w:fldChar w:fldCharType="end"/>
      </w:r>
      <w:r>
        <w:t xml:space="preserve">. Here it is automatic, per component, and aimed at AI components.</w:t>
      </w:r>
    </w:p>
    <w:p>
      <w:pPr>
        <w:pStyle w:val="BodyText"/>
      </w:pPr>
      <w:r>
        <w:rPr>
          <w:i/>
          <w:iCs/>
        </w:rPr>
        <w:t xml:space="preserve">Provenance.</w:t>
      </w:r>
      <w:r>
        <w:t xml:space="preserve"> Optionally, TIDE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timestamp="1793216821"&gt;55&lt;/key&gt;&lt;/foreign-keys&gt;&lt;ref-type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TIDE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AI components </w: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PSIxNzkzMjE2ODIxIj4zMzwva2V5PjwvZm9yZWlnbi1rZXlzPjxyZWYtdHlwZSBuYW1lPSJKb3Vy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YzA4NmUxNmNjMjU4OTUiIHRpbWVzdGFtcD0iMTc5MzIxNjgyMSI+NTM8L2tleT48L2ZvcmVpZ24t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 </w:instrTex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PSIxNzkzMjE2ODIxIj4zMzwva2V5PjwvZm9yZWlnbi1rZXlzPjxyZWYtdHlwZSBuYW1lPSJKb3Vy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YzA4NmUxNmNjMjU4OTUiIHRpbWVzdGFtcD0iMTc5MzIxNjgyMSI+NTM8L2tleT48L2ZvcmVpZ24t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EN.CITE.DATA </w:instrText>
      </w:r>
      <w:r>
        <w:fldChar w:fldCharType="end"/>
      </w:r>
      <w:r>
        <w:fldChar w:fldCharType="separate"/>
      </w:r>
      <w:r>
        <w:rPr>
          <w:noProof/>
        </w:rPr>
        <w:t>[54,55]</w:t>
      </w:r>
      <w:r>
        <w:fldChar w:fldCharType="end"/>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timestamp="1793216821"&gt;20&lt;/key&gt;&lt;/foreign-keys&gt;&lt;ref-type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fldChar w:fldCharType="begin"/>
      </w:r>
      <w:r>
        <w:instrText xml:space="preserve"> ADDIN EN.CITE &lt;EndNote&gt;&lt;Cite&gt;&lt;Author&gt;U.S. Department of Energy&lt;/Author&gt;&lt;Year&gt;2018&lt;/Year&gt;&lt;RecNum&gt;18&lt;/RecNum&gt;&lt;DisplayText&gt;[39,40]&lt;/DisplayText&gt;&lt;record&gt;&lt;rec-number&gt;18&lt;/rec-number&gt;&lt;foreign-keys&gt;&lt;key app="EN" db-id="mdae8500109496fea4aff9c086e16cc25895" timestamp="1793216821"&gt;18&lt;/key&gt;&lt;/foreign-keys&gt;&lt;ref-type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Cite&gt;&lt;Author&gt;Lawrence Berkeley National Laboratory&lt;/Author&gt;&lt;Year&gt;2021&lt;/Year&gt;&lt;RecNum&gt;48&lt;/RecNum&gt;&lt;record&gt;&lt;rec-number&gt;48&lt;/rec-number&gt;&lt;foreign-keys&gt;&lt;key app="EN" db-id="mdae8500109496fea4aff9c086e16cc25895" timestamp="1793216821"&gt;48&lt;/key&gt;&lt;/foreign-keys&gt;&lt;ref-type name="Web Page"&gt;12&lt;/ref-type&gt;&lt;contributors&gt;&lt;authors&gt;&lt;author&gt;Lawrence Berkeley National Laboratory&lt;/author&gt;&lt;/authors&gt;&lt;/contributors&gt;&lt;titles&gt;&lt;title&gt;FMU Export of EnergyPlus User Guide, Section 5: Usage of EnergyPlus as an FMU&lt;/title&gt;&lt;/titles&gt;&lt;dates&gt;&lt;year&gt;2021&lt;/year&gt;&lt;/dates&gt;&lt;label&gt;lbnl_fmuexport&lt;/label&gt;&lt;urls&gt;&lt;related-urls&gt;&lt;url&gt;https://simulationresearch.lbl.gov/fmu/EnergyPlus/export/userGuide/usage.html&lt;/url&gt;&lt;/related-urls&gt;&lt;/urls&gt;&lt;access-date&gt;2026-10-28&lt;/access-date&gt;&lt;/record&gt;&lt;/Cite&gt;&lt;/EndNote&gt;</w:instrText>
      </w:r>
      <w:r>
        <w:fldChar w:fldCharType="separate"/>
      </w:r>
      <w:r>
        <w:rPr>
          <w:noProof/>
        </w:rPr>
        <w:t>[39,40]</w:t>
      </w:r>
      <w:r>
        <w:fldChar w:fldCharType="end"/>
      </w:r>
      <w:r>
        <w:t xml:space="preserve">.</w:t>
      </w:r>
    </w:p>
    <w:p>
      <w:pPr>
        <w:pStyle w:val="Heading1"/>
      </w:pPr>
      <w:bookmarkStart w:id="11" w:name="_Ref_sec_impl"/>
      <w:r>
        <w:t xml:space="preserve">Implementation</w:t>
      </w:r>
      <w:bookmarkEnd w:id="11"/>
    </w:p>
    <w:p>
      <w:pPr>
        <w:pStyle w:val="BodyText"/>
      </w:pPr>
      <w:r>
        <w:t xml:space="preserve">Py-CoSim is a Python package (Python 3.9 or later) released under the MIT license; the source code, examples and the scripts that reproduce every result of this paper are available at https://github.com/lz356/Py-CoSim.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EPW weather, PV (a PVWatts-type model </w:t>
      </w:r>
      <w:r>
        <w:fldChar w:fldCharType="begin"/>
      </w:r>
      <w:r>
        <w:instrText xml:space="preserve"> ADDIN EN.CITE &lt;EndNote&gt;&lt;Cite&gt;&lt;Author&gt;Dobos&lt;/Author&gt;&lt;Year&gt;2014&lt;/Year&gt;&lt;RecNum&gt;17&lt;/RecNum&gt;&lt;DisplayText&gt;[57]&lt;/DisplayText&gt;&lt;record&gt;&lt;rec-number&gt;17&lt;/rec-number&gt;&lt;foreign-keys&gt;&lt;key app="EN" db-id="mdae8500109496fea4aff9c086e16cc25895" timestamp="1793216821"&gt;17&lt;/key&gt;&lt;/foreign-keys&gt;&lt;ref-type name="Report"&gt;27&lt;/ref-type&gt;&lt;contributors&gt;&lt;authors&gt;&lt;author&gt;Dobos, A. P.&lt;/author&gt;&lt;/authors&gt;&lt;/contributors&gt;&lt;titles&gt;&lt;title&gt;PVWatts Version 5 Manual&lt;/title&gt;&lt;/titles&gt;&lt;dates&gt;&lt;year&gt;2014&lt;/year&gt;&lt;/dates&gt;&lt;pub-location&gt;Golden, CO&lt;/pub-location&gt;&lt;publisher&gt;National Renewable Energy Laboratory&lt;/publisher&gt;&lt;isbn&gt;NREL/TP-6A20-62641&lt;/isbn&gt;&lt;label&gt;dobos2014&lt;/label&gt;&lt;work-type&gt;Technical Report&lt;/work-type&gt;&lt;urls&gt;&lt;/urls&gt;&lt;electronic-resource-num&gt;10.2172/1158421&lt;/electronic-resource-num&gt;&lt;/record&gt;&lt;/Cite&gt;&lt;/EndNote&gt;</w:instrText>
      </w:r>
      <w:r>
        <w:fldChar w:fldCharType="separate"/>
      </w:r>
      <w:r>
        <w:rPr>
          <w:noProof/>
        </w:rPr>
        <w:t>[57]</w:t>
      </w:r>
      <w:r>
        <w:fldChar w:fldCharType="end"/>
      </w:r>
      <w:r>
        <w:t xml:space="preserve">), batteries, tariffs, grid metering, controllers, a two-node resistance–capacitance building, occupancy from the 2017 National Household Travel Survey </w:t>
      </w:r>
      <w:r>
        <w:fldChar w:fldCharType="begin"/>
      </w:r>
      <w:r>
        <w:instrText xml:space="preserve"> ADDIN EN.CITE &lt;EndNote&gt;&lt;Cite&gt;&lt;Author&gt;Federal Highway Administration&lt;/Author&gt;&lt;Year&gt;2017&lt;/Year&gt;&lt;RecNum&gt;22&lt;/RecNum&gt;&lt;DisplayText&gt;[58]&lt;/DisplayText&gt;&lt;record&gt;&lt;rec-number&gt;22&lt;/rec-number&gt;&lt;foreign-keys&gt;&lt;key app="EN" db-id="mdae8500109496fea4aff9c086e16cc25895" timestamp="1793216821"&gt;22&lt;/key&gt;&lt;/foreign-keys&gt;&lt;ref-type name="Web Page"&gt;12&lt;/ref-type&gt;&lt;contributors&gt;&lt;authors&gt;&lt;author&gt;Federal Highway Administration&lt;/author&gt;&lt;/authors&gt;&lt;/contributors&gt;&lt;titles&gt;&lt;title&gt;2017 National Household Travel Survey&lt;/title&gt;&lt;/titles&gt;&lt;dates&gt;&lt;year&gt;2017&lt;/year&gt;&lt;/dates&gt;&lt;publisher&gt;U.S. Department of Transportation&lt;/publisher&gt;&lt;label&gt;fhwa2017&lt;/label&gt;&lt;urls&gt;&lt;related-urls&gt;&lt;url&gt;https://nhts.ornl.gov&lt;/url&gt;&lt;/related-urls&gt;&lt;/urls&gt;&lt;access-date&gt;2026-10-28&lt;/access-date&gt;&lt;/record&gt;&lt;/Cite&gt;&lt;/EndNote&gt;</w:instrText>
      </w:r>
      <w:r>
        <w:fldChar w:fldCharType="separate"/>
      </w:r>
      <w:r>
        <w:rPr>
          <w:noProof/>
        </w:rPr>
        <w:t>[58]</w:t>
      </w:r>
      <w:r>
        <w:fldChar w:fldCharType="end"/>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fldChar w:fldCharType="begin"/>
      </w:r>
      <w:r>
        <w:instrText xml:space="preserve"> ADDIN EN.CITE &lt;EndNote&gt;&lt;Cite&gt;&lt;Author&gt;Crawley&lt;/Author&gt;&lt;Year&gt;2001&lt;/Year&gt;&lt;RecNum&gt;13&lt;/RecNum&gt;&lt;DisplayText&gt;[59]&lt;/DisplayText&gt;&lt;record&gt;&lt;rec-number&gt;13&lt;/rec-number&gt;&lt;foreign-keys&gt;&lt;key app="EN" db-id="mdae8500109496fea4aff9c086e16cc25895" timestamp="1793216821"&gt;13&lt;/key&gt;&lt;/foreign-keys&gt;&lt;ref-type name="Journal Article"&gt;17&lt;/ref-type&gt;&lt;contributors&gt;&lt;authors&gt;&lt;author&gt;Crawley, Drury B.&lt;/author&gt;&lt;author&gt;Lawrie, Linda K.&lt;/author&gt;&lt;author&gt;Winkelmann, Frederick C.&lt;/author&gt;&lt;author&gt;Buhl, W. F.&lt;/author&gt;&lt;author&gt;Huang, Y. Joe&lt;/author&gt;&lt;author&gt;Pedersen, Curtis O.&lt;/author&gt;&lt;author&gt;Strand, Richard K.&lt;/author&gt;&lt;author&gt;Liesen, Richard J.&lt;/author&gt;&lt;author&gt;Fisher, Daniel E.&lt;/author&gt;&lt;author&gt;Witte, Michael J.&lt;/author&gt;&lt;author&gt;Glazer, Jason&lt;/author&gt;&lt;/authors&gt;&lt;/contributors&gt;&lt;titles&gt;&lt;title&gt;EnergyPlus: creating a new-generation building energy simulation program&lt;/title&gt;&lt;secondary-title&gt;Energy and Buildings&lt;/secondary-title&gt;&lt;alt-title&gt;Energy Build.&lt;/alt-title&gt;&lt;/titles&gt;&lt;periodical&gt;&lt;full-title&gt;Energy and Buildings&lt;/full-title&gt;&lt;abbr-1&gt;Energy Build.&lt;/abbr-1&gt;&lt;/periodical&gt;&lt;pages&gt;319-331&lt;/pages&gt;&lt;volume&gt;33&lt;/volume&gt;&lt;number&gt;4&lt;/number&gt;&lt;dates&gt;&lt;year&gt;2001&lt;/year&gt;&lt;/dates&gt;&lt;publisher&gt;Elsevier&lt;/publisher&gt;&lt;label&gt;crawley2001&lt;/label&gt;&lt;urls&gt;&lt;/urls&gt;&lt;electronic-resource-num&gt;10.1016/S0378-7788(00)00114-6&lt;/electronic-resource-num&gt;&lt;/record&gt;&lt;/Cite&gt;&lt;/EndNote&gt;</w:instrText>
      </w:r>
      <w:r>
        <w:fldChar w:fldCharType="separate"/>
      </w:r>
      <w:r>
        <w:rPr>
          <w:noProof/>
        </w:rPr>
        <w:t>[59]</w:t>
      </w:r>
      <w:r>
        <w:fldChar w:fldCharType="end"/>
      </w:r>
      <w:r>
        <w:t xml:space="preserve"> and the DOE small office reference building (511 m</w:t>
      </w:r>
      <w:r>
        <w:rPr>
          <w:vertAlign w:val="superscript"/>
        </w:rPr>
        <w:t xml:space="preserve">2</w:t>
      </w:r>
      <w:r>
        <w:t xml:space="preserve">, five conditioned zones, packaged single-zone air conditioners with direct-expansion cooling) </w:t>
      </w:r>
      <w:r>
        <w:fldChar w:fldCharType="begin"/>
      </w:r>
      <w:r>
        <w:instrText xml:space="preserve"> ADDIN EN.CITE &lt;EndNote&gt;&lt;Cite&gt;&lt;Author&gt;Deru&lt;/Author&gt;&lt;Year&gt;2011&lt;/Year&gt;&lt;RecNum&gt;15&lt;/RecNum&gt;&lt;DisplayText&gt;[60]&lt;/DisplayText&gt;&lt;record&gt;&lt;rec-number&gt;15&lt;/rec-number&gt;&lt;foreign-keys&gt;&lt;key app="EN" db-id="mdae8500109496fea4aff9c086e16cc25895" timestamp="1793216821"&gt;15&lt;/key&gt;&lt;/foreign-keys&gt;&lt;ref-type name="Report"&gt;27&lt;/ref-type&gt;&lt;contributors&gt;&lt;authors&gt;&lt;author&gt;Deru, M.&lt;/author&gt;&lt;author&gt;Field, K.&lt;/author&gt;&lt;author&gt;Studer, D.&lt;/author&gt;&lt;author&gt;Benne, K.&lt;/author&gt;&lt;author&gt;Griffith, B.&lt;/author&gt;&lt;author&gt;Torcellini, P.&lt;/author&gt;&lt;author&gt;Liu, B.&lt;/author&gt;&lt;author&gt;Halverson, M.&lt;/author&gt;&lt;author&gt;Winiarski, D.&lt;/author&gt;&lt;author&gt;Rosenberg, M.&lt;/author&gt;&lt;author&gt;Yazdanian, M.&lt;/author&gt;&lt;author&gt;Huang, J.&lt;/author&gt;&lt;author&gt;Crawley, D.&lt;/author&gt;&lt;/authors&gt;&lt;/contributors&gt;&lt;titles&gt;&lt;title&gt;U.S. Department of Energy Commercial Reference Building Models of the National Building Stock&lt;/title&gt;&lt;/titles&gt;&lt;dates&gt;&lt;year&gt;2011&lt;/year&gt;&lt;/dates&gt;&lt;pub-location&gt;Golden, CO&lt;/pub-location&gt;&lt;publisher&gt;National Renewable Energy Laboratory&lt;/publisher&gt;&lt;isbn&gt;NREL/TP-5500-46861&lt;/isbn&gt;&lt;label&gt;deru2011&lt;/label&gt;&lt;work-type&gt;Technical Report&lt;/work-type&gt;&lt;urls&gt;&lt;/urls&gt;&lt;electronic-resource-num&gt;10.2172/1009264&lt;/electronic-resource-num&gt;&lt;/record&gt;&lt;/Cite&gt;&lt;/EndNote&gt;</w:instrText>
      </w:r>
      <w:r>
        <w:fldChar w:fldCharType="separate"/>
      </w:r>
      <w:r>
        <w:rPr>
          <w:noProof/>
        </w:rPr>
        <w:t>[60]</w:t>
      </w:r>
      <w:r>
        <w:fldChar w:fldCharType="end"/>
      </w:r>
      <w:r>
        <w:t xml:space="preserve"> with the Tucson, Arizona TMY3 weather file.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fldChar w:fldCharType="begin"/>
      </w:r>
      <w:r>
        <w:instrText xml:space="preserve"> REF _Ref_fig_e2a \h </w:instrText>
      </w:r>
      <w:r>
        <w:fldChar w:fldCharType="separate"/>
      </w:r>
      <w:r>
        <w:t>3</w:t>
      </w:r>
      <w:r>
        <w:fldChar w:fldCharType="end"/>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fldChar w:fldCharType="begin"/>
      </w:r>
      <w:r>
        <w:instrText xml:space="preserve"> REF _Ref_fig_e2a \h </w:instrText>
      </w:r>
      <w:r>
        <w:fldChar w:fldCharType="separate"/>
      </w:r>
      <w:r>
        <w:t>3</w:t>
      </w:r>
      <w:r>
        <w:fldChar w:fldCharType="end"/>
      </w:r>
      <w:r>
        <w:t xml:space="preserve">), no message covers the current producer interval yet. TIDE then holds the last complete interval and reports the missing coverage in the run’s alignment table, and errors of up to 5.9 % remain in both modes.</w:t>
      </w:r>
    </w:p>
    <w:p>
      <w:pPr>
        <w:pStyle w:val="Figure"/>
      </w:pPr>
      <w:r>
        <w:drawing>
          <wp:inline distT="0" distB="0" distL="0" distR="0">
            <wp:extent cx="4500000" cy="4242857"/>
            <wp:effectExtent l="0" t="0" r="0" b="0"/>
            <wp:docPr id="3" name="Figure 3" descr="Cost error of a grid meter for every combination of producer and meter step: (a, b) naive exchange of the latest values; (c, d) aligned exchange with read=&quot;past&quot;; (a, c) time-of-use price; (b, d) real"/>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4500000" cy="4242857"/>
                    </a:xfrm>
                    <a:prstGeom prst="rect">
                      <a:avLst/>
                    </a:prstGeom>
                  </pic:spPr>
                </pic:pic>
              </a:graphicData>
            </a:graphic>
          </wp:inline>
        </w:drawing>
      </w:r>
    </w:p>
    <w:p>
      <w:pPr>
        <w:pStyle w:val="Caption"/>
      </w:pPr>
      <w:r>
        <w:rPr>
          <w:b/>
          <w:bCs/>
        </w:rPr>
        <w:t xml:space="preserve">Fig. </w:t>
      </w:r>
      <w:bookmarkStart w:id="15" w:name="_Ref_fig_e2a"/>
      <w:r>
        <w:rPr>
          <w:b/>
          <w:bCs/>
        </w:rPr>
        <w:fldChar w:fldCharType="begin"/>
      </w:r>
      <w:r>
        <w:rPr>
          <w:b/>
          <w:bCs/>
        </w:rPr>
        <w:instrText xml:space="preserve"> SEQ Figure \* ARABIC </w:instrText>
      </w:r>
      <w:r>
        <w:rPr>
          <w:b/>
          <w:bCs/>
        </w:rPr>
        <w:fldChar w:fldCharType="separate"/>
      </w:r>
      <w:r>
        <w:rPr>
          <w:b/>
          <w:bCs/>
        </w:rPr>
        <w:t>3</w:t>
      </w:r>
      <w:r>
        <w:rPr>
          <w:b/>
          <w:bCs/>
        </w:rPr>
        <w:fldChar w:fldCharType="end"/>
      </w:r>
      <w:bookmarkEnd w:id="15"/>
      <w:r>
        <w:rPr>
          <w:b/>
          <w:bCs/>
        </w:rPr>
        <w:t xml:space="preserve">.</w:t>
      </w:r>
      <w:r>
        <w:t xml:space="preserve"> </w:t>
      </w:r>
      <w:r>
        <w:t xml:space="preserve">Cost error of a grid meter for every combination of producer and meter step: (a, b) naive exchange of the latest values; (c, d) 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Heading2"/>
      </w:pPr>
      <w:bookmarkStart w:id="16" w:name="_Ref_sec_e2b"/>
      <w:r>
        <w:t xml:space="preserve">Coupling error with EnergyPlus</w:t>
      </w:r>
      <w:bookmarkEnd w:id="16"/>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conventional wiring);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fldChar w:fldCharType="begin"/>
      </w:r>
      <w:r>
        <w:instrText xml:space="preserve"> REF _Ref_fig_e2b \h </w:instrText>
      </w:r>
      <w:r>
        <w:fldChar w:fldCharType="separate"/>
      </w:r>
      <w:r>
        <w:t>4</w:t>
      </w:r>
      <w:r>
        <w:fldChar w:fldCharType="end"/>
      </w:r>
      <w:r>
        <w:t xml:space="preserve"> 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fldChar w:fldCharType="begin"/>
      </w:r>
      <w:r>
        <w:instrText xml:space="preserve"> REF _Ref_fig_e2b \h </w:instrText>
      </w:r>
      <w:r>
        <w:fldChar w:fldCharType="separate"/>
      </w:r>
      <w:r>
        <w:t>4</w:t>
      </w:r>
      <w:r>
        <w:fldChar w:fldCharType="end"/>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Figure"/>
      </w:pPr>
      <w:r>
        <w:drawing>
          <wp:inline distT="0" distB="0" distL="0" distR="0">
            <wp:extent cx="5759999" cy="2171214"/>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759999" cy="2171214"/>
                    </a:xfrm>
                    <a:prstGeom prst="rect">
                      <a:avLst/>
                    </a:prstGeom>
                  </pic:spPr>
                </pic:pic>
              </a:graphicData>
            </a:graphic>
          </wp:inline>
        </w:drawing>
      </w:r>
    </w:p>
    <w:p>
      <w:pPr>
        <w:pStyle w:val="Caption"/>
      </w:pPr>
      <w:r>
        <w:rPr>
          <w:b/>
          <w:bCs/>
        </w:rPr>
        <w:t xml:space="preserve">Fig. </w:t>
      </w:r>
      <w:bookmarkStart w:id="17" w:name="_Ref_fig_e2b"/>
      <w:r>
        <w:rPr>
          <w:b/>
          <w:bCs/>
        </w:rPr>
        <w:fldChar w:fldCharType="begin"/>
      </w:r>
      <w:r>
        <w:rPr>
          <w:b/>
          <w:bCs/>
        </w:rPr>
        <w:instrText xml:space="preserve"> SEQ Figure \* ARABIC </w:instrText>
      </w:r>
      <w:r>
        <w:rPr>
          <w:b/>
          <w:bCs/>
        </w:rPr>
        <w:fldChar w:fldCharType="separate"/>
      </w:r>
      <w:r>
        <w:rPr>
          <w:b/>
          <w:bCs/>
        </w:rPr>
        <w:t>4</w:t>
      </w:r>
      <w:r>
        <w:rPr>
          <w:b/>
          <w:bCs/>
        </w:rPr>
        <w:fldChar w:fldCharType="end"/>
      </w:r>
      <w:bookmarkEnd w:id="17"/>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Heading2"/>
      </w:pPr>
      <w:bookmarkStart w:id="18" w:name="_Ref_sec_e3"/>
      <w:r>
        <w:t xml:space="preserve">Reproducibility with a non-deterministic AI supervisor</w:t>
      </w:r>
      <w:bookmarkEnd w:id="18"/>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BodyText"/>
      </w:pPr>
      <w:r>
        <w:t xml:space="preserve">Five live runs differ substantially (</w:t>
      </w:r>
      <w:r>
        <w:t xml:space="preserve">Fig. </w:t>
      </w:r>
      <w:r>
        <w:fldChar w:fldCharType="begin"/>
      </w:r>
      <w:r>
        <w:instrText xml:space="preserve"> REF _Ref_fig_e3a \h </w:instrText>
      </w:r>
      <w:r>
        <w:fldChar w:fldCharType="separate"/>
      </w:r>
      <w:r>
        <w:t>5</w:t>
      </w:r>
      <w:r>
        <w:fldChar w:fldCharType="end"/>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AI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fldChar w:fldCharType="begin"/>
      </w:r>
      <w:r>
        <w:instrText xml:space="preserve"> REF _Ref_fig_e3a \h </w:instrText>
      </w:r>
      <w:r>
        <w:fldChar w:fldCharType="separate"/>
      </w:r>
      <w:r>
        <w:t>5</w:t>
      </w:r>
      <w:r>
        <w:fldChar w:fldCharType="end"/>
      </w:r>
      <w:r>
        <w:t xml:space="preserve"> b). The replayed comparison answers a narrower question, the effect of the retrofit under identical decisions rather than under decisions that react to the retrofitted building, and the two should be reported for what they are.</w:t>
      </w:r>
    </w:p>
    <w:p>
      <w:pPr>
        <w:pStyle w:val="Figure"/>
      </w:pPr>
      <w:r>
        <w:drawing>
          <wp:inline distT="0" distB="0" distL="0" distR="0">
            <wp:extent cx="5400000" cy="1941217"/>
            <wp:effectExtent l="0" t="0" r="0" b="0"/>
            <wp:docPr id="5" name="Figure 5" descr="Record and replay with a stochastic AI supervisor: (a) cooling set-points chosen on 18 July in five live runs and in the replay of run 1, which coincides with run 1; (b) savings of a lighting retrofit"/>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400000" cy="1941217"/>
                    </a:xfrm>
                    <a:prstGeom prst="rect">
                      <a:avLst/>
                    </a:prstGeom>
                  </pic:spPr>
                </pic:pic>
              </a:graphicData>
            </a:graphic>
          </wp:inline>
        </w:drawing>
      </w:r>
    </w:p>
    <w:p>
      <w:pPr>
        <w:pStyle w:val="Caption"/>
      </w:pPr>
      <w:r>
        <w:rPr>
          <w:b/>
          <w:bCs/>
        </w:rPr>
        <w:t xml:space="preserve">Fig. </w:t>
      </w:r>
      <w:bookmarkStart w:id="19" w:name="_Ref_fig_e3a"/>
      <w:r>
        <w:rPr>
          <w:b/>
          <w:bCs/>
        </w:rPr>
        <w:fldChar w:fldCharType="begin"/>
      </w:r>
      <w:r>
        <w:rPr>
          <w:b/>
          <w:bCs/>
        </w:rPr>
        <w:instrText xml:space="preserve"> SEQ Figure \* ARABIC </w:instrText>
      </w:r>
      <w:r>
        <w:rPr>
          <w:b/>
          <w:bCs/>
        </w:rPr>
        <w:fldChar w:fldCharType="separate"/>
      </w:r>
      <w:r>
        <w:rPr>
          <w:b/>
          <w:bCs/>
        </w:rPr>
        <w:t>5</w:t>
      </w:r>
      <w:r>
        <w:rPr>
          <w:b/>
          <w:bCs/>
        </w:rPr>
        <w:fldChar w:fldCharType="end"/>
      </w:r>
      <w:bookmarkEnd w:id="19"/>
      <w:r>
        <w:rPr>
          <w:b/>
          <w:bCs/>
        </w:rPr>
        <w:t xml:space="preserve">.</w:t>
      </w:r>
      <w:r>
        <w:t xml:space="preserve"> </w:t>
      </w:r>
      <w:r>
        <w:t xml:space="preserve">Record and replay with a stochastic AI supervisor: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Heading2"/>
      </w:pPr>
      <w:bookmarkStart w:id="20" w:name="_Ref_sec_e4"/>
      <w:r>
        <w:t xml:space="preserve">Slow AI components</w:t>
      </w:r>
      <w:bookmarkEnd w:id="20"/>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BodyText"/>
      </w:pPr>
      <w:r>
        <w:t xml:space="preserve">The wall-clock times are shown in </w:t>
      </w:r>
      <w:r>
        <w:t xml:space="preserve">Fig. </w:t>
      </w:r>
      <w:r>
        <w:fldChar w:fldCharType="begin"/>
      </w:r>
      <w:r>
        <w:instrText xml:space="preserve"> REF _Ref_fig_e4 \h </w:instrText>
      </w:r>
      <w:r>
        <w:fldChar w:fldCharType="separate"/>
      </w:r>
      <w:r>
        <w:t>6</w:t>
      </w:r>
      <w:r>
        <w:fldChar w:fldCharType="end"/>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060000" cy="2259140"/>
            <wp:effectExtent l="0" t="0" r="0" b="0"/>
            <wp:docPr id="6" name="Figure 6" descr="Wall-clock time of a two-day co-simulation of N EnergyPlus offices, each with an AI supervisor whose calls take 0.5 s (median), with blocking calls and with asynchronous delivery by TIDE (decision del"/>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060000" cy="2259140"/>
                    </a:xfrm>
                    <a:prstGeom prst="rect">
                      <a:avLst/>
                    </a:prstGeom>
                  </pic:spPr>
                </pic:pic>
              </a:graphicData>
            </a:graphic>
          </wp:inline>
        </w:drawing>
      </w:r>
    </w:p>
    <w:p>
      <w:pPr>
        <w:pStyle w:val="Caption"/>
      </w:pPr>
      <w:r>
        <w:rPr>
          <w:b/>
          <w:bCs/>
        </w:rPr>
        <w:t xml:space="preserve">Fig. </w:t>
      </w:r>
      <w:bookmarkStart w:id="21" w:name="_Ref_fig_e4"/>
      <w:r>
        <w:rPr>
          <w:b/>
          <w:bCs/>
        </w:rPr>
        <w:fldChar w:fldCharType="begin"/>
      </w:r>
      <w:r>
        <w:rPr>
          <w:b/>
          <w:bCs/>
        </w:rPr>
        <w:instrText xml:space="preserve"> SEQ Figure \* ARABIC </w:instrText>
      </w:r>
      <w:r>
        <w:rPr>
          <w:b/>
          <w:bCs/>
        </w:rPr>
        <w:fldChar w:fldCharType="separate"/>
      </w:r>
      <w:r>
        <w:rPr>
          <w:b/>
          <w:bCs/>
        </w:rPr>
        <w:t>6</w:t>
      </w:r>
      <w:r>
        <w:rPr>
          <w:b/>
          <w:bCs/>
        </w:rPr>
        <w:fldChar w:fldCharType="end"/>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an AI supervisor whose calls take 0.5 s (median), with blocking calls and with asynchronous delivery by TIDE (decision delay 15 min).</w:t>
      </w:r>
    </w:p>
    <w:p>
      <w:pPr>
        <w:pStyle w:val="Heading2"/>
      </w:pPr>
      <w:bookmarkStart w:id="22" w:name="_Ref_sec_e6"/>
      <w:r>
        <w:t xml:space="preserve">Overhead</w:t>
      </w:r>
      <w:bookmarkEnd w:id="22"/>
    </w:p>
    <w:p>
      <w:pPr>
        <w:pStyle w:val="BodyText"/>
      </w:pPr>
      <w:r>
        <w:t xml:space="preserve">The features of TIDE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fldChar w:fldCharType="begin"/>
      </w:r>
      <w:r>
        <w:instrText xml:space="preserve"> ADDIN EN.CITE &lt;EndNote&gt;&lt;Cite&gt;&lt;Author&gt;Hardy&lt;/Author&gt;&lt;Year&gt;2024&lt;/Year&gt;&lt;RecNum&gt;29&lt;/RecNum&gt;&lt;DisplayText&gt;[18]&lt;/DisplayText&gt;&lt;record&gt;&lt;rec-number&gt;29&lt;/rec-number&gt;&lt;foreign-keys&gt;&lt;key app="EN" db-id="mdae8500109496fea4aff9c086e16cc25895" timestamp="1793216821"&gt;29&lt;/key&gt;&lt;/foreign-keys&gt;&lt;ref-type name="Journal Article"&gt;17&lt;/ref-type&gt;&lt;contributors&gt;&lt;authors&gt;&lt;author&gt;Hardy, Trevor D.&lt;/author&gt;&lt;author&gt;Palmintier, Bryan&lt;/author&gt;&lt;author&gt;Top, Philip L.&lt;/author&gt;&lt;author&gt;Krishnamurthy, Dheepak&lt;/author&gt;&lt;author&gt;Fuller, Jason C.&lt;/author&gt;&lt;/authors&gt;&lt;/contributors&gt;&lt;titles&gt;&lt;title&gt;HELICS: A Co-Simulation Framework for Scalable Multi-Domain Modeling and Analysis&lt;/title&gt;&lt;secondary-title&gt;IEEE Access&lt;/secondary-title&gt;&lt;alt-title&gt;IEEE Access&lt;/alt-title&gt;&lt;/titles&gt;&lt;periodical&gt;&lt;full-title&gt;IEEE Access&lt;/full-title&gt;&lt;abbr-1&gt;IEEE Access&lt;/abbr-1&gt;&lt;/periodical&gt;&lt;pages&gt;24325-24347&lt;/pages&gt;&lt;volume&gt;12&lt;/volume&gt;&lt;dates&gt;&lt;year&gt;2024&lt;/year&gt;&lt;/dates&gt;&lt;publisher&gt;IEEE&lt;/publisher&gt;&lt;label&gt;hardy2024&lt;/label&gt;&lt;urls&gt;&lt;/urls&gt;&lt;electronic-resource-num&gt;10.1109/ACCESS.2024.3363615&lt;/electronic-resource-num&gt;&lt;/record&gt;&lt;/Cite&gt;&lt;/EndNote&gt;</w:instrText>
      </w:r>
      <w:r>
        <w:fldChar w:fldCharType="separate"/>
      </w:r>
      <w:r>
        <w:rPr>
          <w:noProof/>
        </w:rPr>
        <w:t>[18]</w:t>
      </w:r>
      <w:r>
        <w:fldChar w:fldCharType="end"/>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Py-CoSim run with latest-value reads bit for bit over all 672 steps (power, set-point and price identical; cost difference 10</w:t>
      </w:r>
      <w:r>
        <w:rPr>
          <w:vertAlign w:val="superscript"/>
        </w:rPr>
        <w:t xml:space="preserve">−14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fldChar w:fldCharType="begin"/>
      </w:r>
      <w:r>
        <w:instrText xml:space="preserve"> REF _Ref_tbl_features \h </w:instrText>
      </w:r>
      <w:r>
        <w:fldChar w:fldCharType="separate"/>
      </w:r>
      <w:r>
        <w:t>1</w:t>
      </w:r>
      <w:r>
        <w:fldChar w:fldCharType="end"/>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is common practice.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fldChar w:fldCharType="begin"/>
      </w:r>
      <w:r>
        <w:instrText xml:space="preserve"> REF _Ref_fig_case \h </w:instrText>
      </w:r>
      <w:r>
        <w:fldChar w:fldCharType="separate"/>
      </w:r>
      <w:r>
        <w:t>7</w:t>
      </w:r>
      <w:r>
        <w:fldChar w:fldCharType="end"/>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Any study that exchanges latest values would overstate the benefits of such battery strategies in the same way.</w:t>
      </w:r>
    </w:p>
    <w:p>
      <w:pPr>
        <w:pStyle w:val="Figure"/>
      </w:pPr>
      <w:r>
        <w:drawing>
          <wp:inline distT="0" distB="0" distL="0" distR="0">
            <wp:extent cx="5580000" cy="2195138"/>
            <wp:effectExtent l="0" t="0" r="0" b="0"/>
            <wp:docPr id="7" name="Figure 7" descr="Community of ten EnergyPlus offices with PV and a battery under four strategies, with naive and aligned metering: (a) energy cost and (b) on-peak grid import relative to the baseline; (c) peak 15-min "/>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580000" cy="2195138"/>
                    </a:xfrm>
                    <a:prstGeom prst="rect">
                      <a:avLst/>
                    </a:prstGeom>
                  </pic:spPr>
                </pic:pic>
              </a:graphicData>
            </a:graphic>
          </wp:inline>
        </w:drawing>
      </w:r>
    </w:p>
    <w:p>
      <w:pPr>
        <w:pStyle w:val="Caption"/>
      </w:pPr>
      <w:r>
        <w:rPr>
          <w:b/>
          <w:bCs/>
        </w:rPr>
        <w:t xml:space="preserve">Fig. </w:t>
      </w:r>
      <w:bookmarkStart w:id="25" w:name="_Ref_fig_case"/>
      <w:r>
        <w:rPr>
          <w:b/>
          <w:bCs/>
        </w:rPr>
        <w:fldChar w:fldCharType="begin"/>
      </w:r>
      <w:r>
        <w:rPr>
          <w:b/>
          <w:bCs/>
        </w:rPr>
        <w:instrText xml:space="preserve"> SEQ Figure \* ARABIC </w:instrText>
      </w:r>
      <w:r>
        <w:rPr>
          <w:b/>
          <w:bCs/>
        </w:rPr>
        <w:fldChar w:fldCharType="separate"/>
      </w:r>
      <w:r>
        <w:rPr>
          <w:b/>
          <w:bCs/>
        </w:rPr>
        <w:t>7</w:t>
      </w:r>
      <w:r>
        <w:rPr>
          <w:b/>
          <w:bCs/>
        </w:rPr>
        <w:fldChar w:fldCharType="end"/>
      </w:r>
      <w:bookmarkEnd w:id="25"/>
      <w:r>
        <w:rPr>
          <w:b/>
          <w:bCs/>
        </w:rPr>
        <w:t xml:space="preserve">.</w:t>
      </w:r>
      <w:r>
        <w:t xml:space="preserve"> </w:t>
      </w:r>
      <w:r>
        <w:t xml:space="preserve">Community of ten EnergyPlus offices with PV and a battery under four strategies, with naive and aligned metering: (a) energy cost and (b) on-peak grid import relative to the baseline; (c) peak 15-min grid import, with the battery controller’s import limit.</w:t>
      </w:r>
    </w:p>
    <w:p>
      <w:pPr>
        <w:pStyle w:val="Heading1"/>
      </w:pPr>
      <w:bookmarkStart w:id="26" w:name="_Ref_sec_discussion"/>
      <w:r>
        <w:t xml:space="preserve">Discussion</w:t>
      </w:r>
      <w:bookmarkEnd w:id="26"/>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timestamp="1793216821"&gt;10&lt;/key&gt;&lt;/foreign-keys&gt;&lt;ref-type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Second, TIDE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BodyText"/>
      </w:pPr>
      <w:r>
        <w:t xml:space="preserve">Alignment does not make an explicit co-simulation exact. TIDE aligns the data a component reads; it does not iterate between components or roll them back, so the physical coupling error of a feedback loop that is closed only every exchange step remains. Energy-residual methods such as NEPCE and power bonds address that error and are complementary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Within a consumer’s step, TIDE can only deliver aggregates: the product of a rapidly changing price and a rapidly changing load needs a consumer step at least as fine as the price changes (</w:t>
      </w:r>
      <w:r>
        <w:t xml:space="preserve">Section 5.3</w:t>
      </w:r>
      <w:r>
        <w:t xml:space="preserve">).</w:t>
      </w:r>
    </w:p>
    <w:p>
      <w:pPr>
        <w:pStyle w:val="Heading2"/>
      </w:pPr>
      <w:r>
        <w:t xml:space="preserve">A pitfall: the EnergyPlus time step changes the equipment</w:t>
      </w:r>
    </w:p>
    <w:p>
      <w:pPr>
        <w:pStyle w:val="BodyText"/>
      </w:pPr>
      <w:r>
        <w:t xml:space="preserve">The standalone runs of </w:t>
      </w:r>
      <w:r>
        <w:t xml:space="preserve">Section 5.4</w:t>
      </w:r>
      <w:r>
        <w:t xml:space="preserve"> found that the EnergyPlus time step changed the weekly electricity use of the small office by up to 14 %, almost entirely through autosizing. The model sets the sizing load-averaging window as a number of time steps; with 60 steps per hour, the six-step window shrinks from 90 min to 6 min, catches the morning cool-down spike, and sizes the cooling coils and fans 65 % larger. With the window fixed in minutes, the time-step effect fell below 0.7 %. Any study that changes the EnergyPlus time step, for example to match the step of a controller or an FMU,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 with a 1-min internal step, the run time is dominated by EnergyPlus itself whatever the exchange step.</w:t>
      </w:r>
    </w:p>
    <w:p>
      <w:pPr>
        <w:pStyle w:val="Heading2"/>
      </w:pPr>
      <w:r>
        <w:t xml:space="preserve">AI components in co-simulation</w:t>
      </w:r>
    </w:p>
    <w:p>
      <w:pPr>
        <w:pStyle w:val="BodyText"/>
      </w:pPr>
      <w:r>
        <w:t xml:space="preserve">Record and replay turned a non-reproducible co-simulation into a reproducible one at the cost of a JSON-lines file, and it allowed a retrofit study with a stochastic supervisor to separate the retrofit effect from the supervisor’s randomness. Two cautions apply. A replay holds the decisions fixed; it does not tell what a supervisor would have decided in the modified system. Recorded prompts and answers may also contain information that needs the same care as any other research data. The asynchronous execution makes the latency of an AI service a modeling decision (the decision delay) instead of an accident of the computer, and overlapping the calls of several components reduced the wall-clock time by up to 2.9 times. Results remain independent of wall-clock latency only as long as no deadline is missed; deadline misses are flagged in the results so that they can be reported.</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a hosted model is still needed to report realistic latency distributions and failure rates. All experiments run on one computer with EnergyPlus 22.2, and asynchronous components run in threads, which suits remote services better than CPU-bound local models. TIDE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presented Py-CoSim, a co-simulation framework in which components exchange messages that state whether a value is an instantaneous sample, an interval average, an interval amount, a value held until replaced or an event, and over which interval it is valid; consumers state which window they need; and the time-aware hub, TIDE, aligns the data, flags its quality, records it for replay, traces its provenance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was exact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AI supervisor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AI calls (2.9 times faster with eight supervisors) while keeping results independent of their latency.</w:t>
      </w:r>
    </w:p>
    <w:p>
      <w:pPr>
        <w:pStyle w:val="ListNumber"/>
        <w:numPr>
          <w:ilvl w:val="0"/>
          <w:numId w:val="101"/>
        </w:numPr>
      </w:pPr>
      <w:r>
        <w:t xml:space="preserve">Aligned reads cost about 15 % more master time than latest-value reads in a stress test without EnergyPlus, and recording every message about 80 %; next to EnergyPlus, whose co-simulation of a building-week took 9.4 s against 6.4 s standalone, these costs are small,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 at https://github.com/lz356/Py-CoSim.</w:t>
      </w:r>
    </w:p>
    <w:p>
      <w:pPr>
        <w:pStyle w:val="HeadingUnnumbered"/>
      </w:pPr>
      <w:r>
        <w:t xml:space="preserve">References</w:t>
      </w:r>
    </w:p>
    <w:p>
      <w:pPr>
        <w:pStyle w:val="EndNoteBibliography"/>
      </w:pPr>
      <w:r>
        <w:fldChar w:fldCharType="begin"/>
      </w:r>
      <w:r>
        <w:instrText xml:space="preserve"> ADDIN EN.REFLIST </w:instrText>
      </w:r>
      <w:r>
        <w:fldChar w:fldCharType="separate"/>
      </w:r>
      <w:r>
        <w:t xml:space="preserve">[1]</w:t>
        <w:tab/>
      </w:r>
      <w:r>
        <w:t xml:space="preserve">M. Neukomm, V. Nubbe, R. Fares, Grid-Interactive Efficient Buildings Technical Report Series: Overview of Research Challenges and Gaps, National Renewable Energy Laboratory, Golden, CO, 2019. https://doi.org/10.2172/1577966.</w:t>
      </w:r>
    </w:p>
    <w:p>
      <w:pPr>
        <w:pStyle w:val="EndNoteBibliography"/>
      </w:pPr>
      <w:r>
        <w:t xml:space="preserve">[2]</w:t>
        <w:tab/>
      </w:r>
      <w:r>
        <w:t xml:space="preserve">T. Hong, S.H. Lee, W. Zhang, H. Li, K. Sun, J. Kace, Informing electrification strategies of residential neighborhoods with urban building energy modeling, Build. Simul. 18 (2025) 3–18. https://doi.org/10.1007/s12273-024-1214-6.</w:t>
      </w:r>
    </w:p>
    <w:p>
      <w:pPr>
        <w:pStyle w:val="EndNoteBibliography"/>
      </w:pPr>
      <w:r>
        <w:t xml:space="preserve">[3]</w:t>
        <w:tab/>
      </w:r>
      <w:r>
        <w:t xml:space="preserve">Z. Wang, T. Hong, Reinforcement learning for building controls: The opportunities and challenges, Appl. Energy 269 (2020) 115036. https://doi.org/10.1016/j.apenergy.2020.115036.</w:t>
      </w:r>
    </w:p>
    <w:p>
      <w:pPr>
        <w:pStyle w:val="EndNoteBibliography"/>
      </w:pPr>
      <w:r>
        <w:t xml:space="preserve">[4]</w:t>
        <w:tab/>
      </w:r>
      <w:r>
        <w:t xml:space="preserve">K.U. Ahn, D.-W. Kim, H.M. Cho, C.-U. Chae, Alternative Approaches to HVAC Control of Chat Generative Pre-Trained Transformer (ChatGPT) for Autonomous Building System Operations, Buildings 13 (2023) 2680. https://doi.org/10.3390/buildings13112680.</w:t>
      </w:r>
    </w:p>
    <w:p>
      <w:pPr>
        <w:pStyle w:val="EndNoteBibliography"/>
      </w:pPr>
      <w:r>
        <w:t xml:space="preserve">[5]</w:t>
        <w:tab/>
      </w:r>
      <w:r>
        <w:t xml:space="preserve">L. Zhang, Z. Chen, Large language model-based interpretable machine learning control in building energy systems, Energy Build. 313 (2024) 114278. https://doi.org/10.1016/j.enbuild.2024.114278.</w:t>
      </w:r>
    </w:p>
    <w:p>
      <w:pPr>
        <w:pStyle w:val="EndNoteBibliography"/>
      </w:pPr>
      <w:r>
        <w:t xml:space="preserve">[6]</w:t>
        <w:tab/>
      </w:r>
      <w:r>
        <w:t xml:space="preserve">M. Liu, L. Zhang, J. Chen, W.-A. Chen, Z. Yang, L.J. Lo, J. Wen, Z. O'Neill, Large language models for building energy applications: Opportunities and challenges, Build. Simul. 18 (2025) 225–234. https://doi.org/10.1007/s12273-025-1235-9.</w:t>
      </w:r>
    </w:p>
    <w:p>
      <w:pPr>
        <w:pStyle w:val="EndNoteBibliography"/>
      </w:pPr>
      <w:r>
        <w:t xml:space="preserve">[7]</w:t>
        <w:tab/>
      </w:r>
      <w:r>
        <w:t xml:space="preserve">C. Gomes, C. Thule, D. Broman, P.G. Larsen, H. Vangheluwe, Co-Simulation: A Survey, ACM Comput. Surv. 51 (2018) 49. https://doi.org/10.1145/3179993.</w:t>
      </w:r>
    </w:p>
    <w:p>
      <w:pPr>
        <w:pStyle w:val="EndNoteBibliography"/>
      </w:pPr>
      <w:r>
        <w:t xml:space="preserve">[8]</w:t>
        <w:tab/>
      </w:r>
      <w:r>
        <w:t xml:space="preserve">T. Hong, J. Langevin, K. Sun, Building simulation: Ten challenges, Build. Simul. 11 (2018) 871–898. https://doi.org/10.1007/s12273-018-0444-x.</w:t>
      </w:r>
    </w:p>
    <w:p>
      <w:pPr>
        <w:pStyle w:val="EndNoteBibliography"/>
      </w:pPr>
      <w:r>
        <w:t xml:space="preserve">[9]</w:t>
        <w:tab/>
      </w:r>
      <w:r>
        <w:t xml:space="preserve">T. Blochwitz, M. Otter, M. Arnold, C. Bausch, C. Clauss, H. Elmqvist, A. Junghanns, J. Mauss, M. Monteiro, T. Neidhold, D. Neumerkel, H. Olsson, J.-V. Peetz, S. Wolf, The Functional Mockup Interface for Tool independent Exchange of Simulation Models, in: Proceedings of the 8th International Modelica Conference, Dresden, Germany, 2011, pp. 105–114. https://doi.org/10.3384/ecp11063105.</w:t>
      </w:r>
    </w:p>
    <w:p>
      <w:pPr>
        <w:pStyle w:val="EndNoteBibliography"/>
      </w:pPr>
      <w:r>
        <w:t xml:space="preserve">[10]</w:t>
        <w:tab/>
      </w:r>
      <w:r>
        <w:t xml:space="preserve">A. Junghanns, T. Blochwitz, C. Bertsch, T. Sommer, K. Wernersson, A. Pillekeit, I. Zacharias, M. Blesken, P.R. Mai, K. Schuch, C. Schulze, C. Gomes, M. Najafi, The Functional Mock-up Interface 3.0 – New Features Enabling New Applications, in: Proceedings of the 14th International Modelica Conference, Linköping, Sweden, 2021, pp. 17–26. https://doi.org/10.3384/ecp2118117.</w:t>
      </w:r>
    </w:p>
    <w:p>
      <w:pPr>
        <w:pStyle w:val="EndNoteBibliography"/>
      </w:pPr>
      <w:r>
        <w:t xml:space="preserve">[11]</w:t>
        <w:tab/>
      </w:r>
      <w:r>
        <w:t xml:space="preserve">M. Wetter, Co-simulation of building energy and control systems with the Building Controls Virtual Test Bed, J. Build. Perform. Simul. 4 (2011) 185–203. https://doi.org/10.1080/19401493.2010.518631.</w:t>
      </w:r>
    </w:p>
    <w:p>
      <w:pPr>
        <w:pStyle w:val="EndNoteBibliography"/>
      </w:pPr>
      <w:r>
        <w:t xml:space="preserve">[12]</w:t>
        <w:tab/>
      </w:r>
      <w:r>
        <w:t xml:space="preserve">T. Nouidui, M. Wetter, W. Zuo, Functional mock-up unit for co-simulation import in EnergyPlus, J. Build. Perform. Simul. 7 (2014) 192–202. https://doi.org/10.1080/19401493.2013.808265.</w:t>
      </w:r>
    </w:p>
    <w:p>
      <w:pPr>
        <w:pStyle w:val="EndNoteBibliography"/>
      </w:pPr>
      <w:r>
        <w:t xml:space="preserve">[13]</w:t>
        <w:tab/>
      </w:r>
      <w:r>
        <w:t xml:space="preserve">M. Wetter, K. Benne, A. Gautier, T.S. Nouidui, A. Ramle, A. Roth, H. Tummescheit, S. Mentzer, C. Winther, Lifting the Garage Door on Spawn, an Open-Source BEM-Controls Engine, in: Proceedings of SimBuild Conference 2020, ASHRAE/IBPSA-USA Building Simulation Conference, 2020. https://doi.org/10.26868/25746308.2020.C063.</w:t>
      </w:r>
    </w:p>
    <w:p>
      <w:pPr>
        <w:pStyle w:val="EndNoteBibliography"/>
      </w:pPr>
      <w:r>
        <w:t xml:space="preserve">[14]</w:t>
        <w:tab/>
      </w:r>
      <w:r>
        <w:t xml:space="preserve">J. Jiménez-Raboso, A. Campoy-Nieves, A. Manjavacas-Lucas, J. Gómez-Romero, M. Molina-Solana, Sinergym: A building simulation and control framework for training reinforcement learning agents, in: Proceedings of the 8th ACM International Conference on Systems for Energy-Efficient Buildings, Cities, and Transportation (BuildSys '21), Coimbra, Portugal, 2021, pp. 319–323. https://doi.org/10.1145/3486611.3488729.</w:t>
      </w:r>
    </w:p>
    <w:p>
      <w:pPr>
        <w:pStyle w:val="EndNoteBibliography"/>
      </w:pPr>
      <w:r>
        <w:t xml:space="preserve">[15]</w:t>
        <w:tab/>
      </w:r>
      <w:r>
        <w:t xml:space="preserve">T. Zhang, O. Ardakanian, COBS: COmprehensive Building Simulator, in: Proceedings of the 7th ACM International Conference on Systems for Energy-Efficient Buildings, Cities, and Transportation (BuildSys '20), Virtual Event, Japan, 2020, pp. 314–315. https://doi.org/10.1145/3408308.3431119.</w:t>
      </w:r>
    </w:p>
    <w:p>
      <w:pPr>
        <w:pStyle w:val="EndNoteBibliography"/>
      </w:pPr>
      <w:r>
        <w:t xml:space="preserve">[16]</w:t>
        <w:tab/>
      </w:r>
      <w:r>
        <w:t xml:space="preserve">D. Blum, J. Arroyo, S. Huang, J. Drgoňa, F. Jorissen, H.T. Walnum, Y. Chen, K. Benne, D. Vrabie, M. Wetter, L. Helsen, Building optimization testing framework (BOPTEST) for simulation-based benchmarking of control strategies in buildings, J. Build. Perform. Simul. 14 (2021) 586–610. https://doi.org/10.1080/19401493.2021.1986574.</w:t>
      </w:r>
    </w:p>
    <w:p>
      <w:pPr>
        <w:pStyle w:val="EndNoteBibliography"/>
      </w:pPr>
      <w:r>
        <w:t xml:space="preserve">[17]</w:t>
        <w:tab/>
      </w:r>
      <w:r>
        <w:t xml:space="preserve">B. Palmintier, D. Krishnamurthy, P. Top, S. Smith, J. Daily, J. Fuller, Design of the HELICS high-performance transmission-distribution-communication-market co-simulation framework, in: 2017 Workshop on Modeling and Simulation of Cyber-Physical Energy Systems (MSCPES), Pittsburgh, PA, USA, 2017, pp. 1–6. https://doi.org/10.1109/MSCPES.2017.8064542.</w:t>
      </w:r>
    </w:p>
    <w:p>
      <w:pPr>
        <w:pStyle w:val="EndNoteBibliography"/>
      </w:pPr>
      <w:r>
        <w:t xml:space="preserve">[18]</w:t>
        <w:tab/>
      </w:r>
      <w:r>
        <w:t xml:space="preserve">T.D. Hardy, B. Palmintier, P.L. Top, D. Krishnamurthy, J.C. Fuller, HELICS: A Co-Simulation Framework for Scalable Multi-Domain Modeling and Analysis, IEEE Access 12 (2024) 24325–24347. https://doi.org/10.1109/ACCESS.2024.3363615.</w:t>
      </w:r>
    </w:p>
    <w:p>
      <w:pPr>
        <w:pStyle w:val="EndNoteBibliography"/>
      </w:pPr>
      <w:r>
        <w:t xml:space="preserve">[19]</w:t>
        <w:tab/>
      </w:r>
      <w:r>
        <w:t xml:space="preserve">C. Steinbrink, M. Blank-Babazadeh, A. El-Ama, S. Holly, B. Lüers, M. Nebel-Wenner, R.P. Ramírez Acosta, T. Raub, J.S. Schwarz, S. Stark, A. Nieße, S. Lehnhoff, CPES Testing with mosaik: Co-Simulation Planning, Execution and Analysis, Appl. Sci. 9 (2019) 923. https://doi.org/10.3390/app9050923.</w:t>
      </w:r>
    </w:p>
    <w:p>
      <w:pPr>
        <w:pStyle w:val="EndNoteBibliography"/>
      </w:pPr>
      <w:r>
        <w:t xml:space="preserve">[20]</w:t>
        <w:tab/>
      </w:r>
      <w:r>
        <w:t xml:space="preserve">A. Ofenloch, J.S. Schwarz, D. Tolk, T. Brandt, R. Eilers, R. Ramirez, T. Raub, S. Lehnhoff, MOSAIK 3.0: Combining Time-Stepped and Discrete Event Simulation, in: 2022 Open Source Modelling and Simulation of Energy Systems (OSMSES), Aachen, Germany, 2022, pp. 1–5. https://doi.org/10.1109/OSMSES54027.2022.9769116.</w:t>
      </w:r>
    </w:p>
    <w:p>
      <w:pPr>
        <w:pStyle w:val="EndNoteBibliography"/>
      </w:pPr>
      <w:r>
        <w:t xml:space="preserve">[21]</w:t>
        <w:tab/>
      </w:r>
      <w:r>
        <w:t xml:space="preserve">U.S. Department of Energy, EnergyPlus Output Details and Examples: eplusout.rdd, version 24.1, 2024. https://bigladdersoftware.com/epx/docs/24-1/output-details-and-examples/eplusout-rdd.html (accessed 2026-10-28).</w:t>
      </w:r>
    </w:p>
    <w:p>
      <w:pPr>
        <w:pStyle w:val="EndNoteBibliography"/>
      </w:pPr>
      <w:r>
        <w:t xml:space="preserve">[22]</w:t>
        <w:tab/>
      </w:r>
      <w:r>
        <w:t xml:space="preserve">R. Kübler, W. Schiehlen, Two Methods of Simulator Coupling, Math. Comput. Model. Dyn. Syst. 6 (2000) 93–113. https://doi.org/10.1076/1387-3954(200006)6:2;1-M;FT093.</w:t>
      </w:r>
    </w:p>
    <w:p>
      <w:pPr>
        <w:pStyle w:val="EndNoteBibliography"/>
      </w:pPr>
      <w:r>
        <w:t xml:space="preserve">[23]</w:t>
        <w:tab/>
      </w:r>
      <w:r>
        <w:t xml:space="preserve">S. Tripakis, Bridging the semantic gap between heterogeneous modeling formalisms and FMI, in: 2015 International Conference on Embedded Computer Systems: Architectures, Modeling, and Simulation (SAMOS), Samos, Greece, 2015, pp. 60–69. https://doi.org/10.1109/SAMOS.2015.7363660.</w:t>
      </w:r>
    </w:p>
    <w:p>
      <w:pPr>
        <w:pStyle w:val="EndNoteBibliography"/>
      </w:pPr>
      <w:r>
        <w:t xml:space="preserve">[24]</w:t>
        <w:tab/>
      </w:r>
      <w:r>
        <w:t xml:space="preserve">C. Gomes, B. Meyers, J. Denil, C. Thule, K. Lausdahl, H. Vangheluwe, P. De Meulenaere, Semantic adaptation for FMI co-simulation with hierarchical simulators, Simulation 95 (2019) 241–269. https://doi.org/10.1177/0037549718759775.</w:t>
      </w:r>
    </w:p>
    <w:p>
      <w:pPr>
        <w:pStyle w:val="EndNoteBibliography"/>
      </w:pPr>
      <w:r>
        <w:t xml:space="preserve">[25]</w:t>
        <w:tab/>
      </w:r>
      <w:r>
        <w:t xml:space="preserve">S. Ouyang, J.M. Zhang, M. Harman, M. Wang, An Empirical Study of the Non-Determinism of ChatGPT in Code Generation, ACM Trans. Softw. Eng. Methodol. 34 (2025) 1–28. https://doi.org/10.1145/3697010.</w:t>
      </w:r>
    </w:p>
    <w:p>
      <w:pPr>
        <w:pStyle w:val="EndNoteBibliography"/>
      </w:pPr>
      <w:r>
        <w:t xml:space="preserve">[26]</w:t>
        <w:tab/>
      </w:r>
      <w:r>
        <w:t xml:space="preserve">A. Neubauer, T. Hong, H. Li, M. Yu, A. Darbandi, Y. Fürst, M. Kriegel, Large Language Models for HVAC Operations in Building Energy Systems: A Critical Review of Methods, Applications, and Deployment Readiness, arXiv, 2026. https://doi.org/10.48550/arXiv.2609.05314.</w:t>
      </w:r>
    </w:p>
    <w:p>
      <w:pPr>
        <w:pStyle w:val="EndNoteBibliography"/>
      </w:pPr>
      <w:r>
        <w:t xml:space="preserve">[27]</w:t>
        <w:tab/>
      </w:r>
      <w:r>
        <w:t xml:space="preserve">P. Henderson, R. Islam, P. Bachman, J. Pineau, D. Precup, D. Meger, Deep Reinforcement Learning That Matters, in: Proceedings of the AAAI Conference on Artificial Intelligence, 2018, pp. 3207–3214. https://doi.org/10.1609/aaai.v32i1.11694.</w:t>
      </w:r>
    </w:p>
    <w:p>
      <w:pPr>
        <w:pStyle w:val="EndNoteBibliography"/>
      </w:pPr>
      <w:r>
        <w:t xml:space="preserve">[28]</w:t>
        <w:tab/>
      </w:r>
      <w:r>
        <w:t xml:space="preserve">Modelica Association, System Structure and Parameterization (SSP), Version 2.0, 2024. https://ssp-standard.org/docs/2.0/.</w:t>
      </w:r>
    </w:p>
    <w:p>
      <w:pPr>
        <w:pStyle w:val="EndNoteBibliography"/>
      </w:pPr>
      <w:r>
        <w:t xml:space="preserve">[29]</w:t>
        <w:tab/>
      </w:r>
      <w:r>
        <w:t xml:space="preserve">D. Broman, C. Brooks, L. Greenberg, E.A. Lee, M. Masin, S. Tripakis, M. Wetter, Determinate composition of FMUs for co-simulation, in: 2013 Proceedings of the International Conference on Embedded Software (EMSOFT), Montreal, QC, Canada, 2013, pp. 1–12. https://doi.org/10.1109/EMSOFT.2013.6658580.</w:t>
      </w:r>
    </w:p>
    <w:p>
      <w:pPr>
        <w:pStyle w:val="EndNoteBibliography"/>
      </w:pPr>
      <w:r>
        <w:t xml:space="preserve">[30]</w:t>
        <w:tab/>
      </w:r>
      <w:r>
        <w:t xml:space="preserve">M. Benedikt, D. Watzenig, J. Zehetner, A. Hofer, NEPCE – a nearly energy-preserving coupling element for weak-coupled problems and co-simulations, in: V International Conference on Computational Methods for Coupled Problems in Science and Engineering (COUPLED 2013), Santa Eulàlia, Ibiza, Spain, 2013, pp. 1021–1032.</w:t>
      </w:r>
    </w:p>
    <w:p>
      <w:pPr>
        <w:pStyle w:val="EndNoteBibliography"/>
      </w:pPr>
      <w:r>
        <w:t xml:space="preserve">[31]</w:t>
        <w:tab/>
      </w:r>
      <w:r>
        <w:t xml:space="preserve">S. Sadjina, L.T. Kyllingstad, S. Skjong, E. Pedersen, Energy conservation and power bonds in co-simulations: non-iterative adaptive step size control and error estimation, Eng. Comput. 33 (2017) 607–620. https://doi.org/10.1007/s00366-016-0492-8.</w:t>
      </w:r>
    </w:p>
    <w:p>
      <w:pPr>
        <w:pStyle w:val="EndNoteBibliography"/>
      </w:pPr>
      <w:r>
        <w:t xml:space="preserve">[32]</w:t>
        <w:tab/>
      </w:r>
      <w:r>
        <w:t xml:space="preserve">IEEE, IEEE Standard for Modeling and Simulation (M&amp;S) High Level Architecture (HLA) – Framework and Rules, IEEE Std 1516-2010, 2010. https://doi.org/10.1109/IEEESTD.2010.5553440.</w:t>
      </w:r>
    </w:p>
    <w:p>
      <w:pPr>
        <w:pStyle w:val="EndNoteBibliography"/>
      </w:pPr>
      <w:r>
        <w:t xml:space="preserve">[33]</w:t>
        <w:tab/>
      </w:r>
      <w:r>
        <w:t xml:space="preserve">R.M. Fujimoto, Parallel and Distributed Simulation Systems, John Wiley &amp; Sons, 2000.</w:t>
      </w:r>
    </w:p>
    <w:p>
      <w:pPr>
        <w:pStyle w:val="EndNoteBibliography"/>
      </w:pPr>
      <w:r>
        <w:t xml:space="preserve">[34]</w:t>
        <w:tab/>
      </w:r>
      <w:r>
        <w:t xml:space="preserve">HELICS developers (GMLC-TDC), HELICS documentation, 2026. https://docs.helics.org/en/latest/ (accessed 2026-10-28).</w:t>
      </w:r>
    </w:p>
    <w:p>
      <w:pPr>
        <w:pStyle w:val="EndNoteBibliography"/>
      </w:pPr>
      <w:r>
        <w:t xml:space="preserve">[35]</w:t>
        <w:tab/>
      </w:r>
      <w:r>
        <w:t xml:space="preserve">OFFIS, mosaik documentation, version 3.5.0, 2025. https://mosaik.readthedocs.io/en/3.5.0/ (accessed 2026-10-28).</w:t>
      </w:r>
    </w:p>
    <w:p>
      <w:pPr>
        <w:pStyle w:val="EndNoteBibliography"/>
      </w:pPr>
      <w:r>
        <w:t xml:space="preserve">[36]</w:t>
        <w:tab/>
      </w:r>
      <w:r>
        <w:t xml:space="preserve">J. Wen, L. Jiang, Y. Chen, C.-C. Chu, J. Zhu, Z. Qiu, Design of Data Distributed Service-Based Distributed Co-Simulation Platform of Power Systems, IEEE Trans. Ind. Appl. 60 (2024) 8115–8127. https://doi.org/10.1109/TIA.2024.3429466.</w:t>
      </w:r>
    </w:p>
    <w:p>
      <w:pPr>
        <w:pStyle w:val="EndNoteBibliography"/>
      </w:pPr>
      <w:r>
        <w:t xml:space="preserve">[37]</w:t>
        <w:tab/>
      </w:r>
      <w:r>
        <w:t xml:space="preserve">V. Paduani, R. Kadavil, H. Hooshyar, A. Haddadi, A.H.M. Jakaria, A. Huque, Real-Time T&amp;D Co-Simulation for Testing Grid Impact of High DER Participation, in: 2023 IEEE PES Grid Edge Technologies Conference &amp; Exposition (Grid Edge), San Diego, CA, USA, 2023, pp. 1–5. https://doi.org/10.1109/GridEdge54130.2023.10102714.</w:t>
      </w:r>
    </w:p>
    <w:p>
      <w:pPr>
        <w:pStyle w:val="EndNoteBibliography"/>
      </w:pPr>
      <w:r>
        <w:t xml:space="preserve">[38]</w:t>
        <w:tab/>
      </w:r>
      <w:r>
        <w:t xml:space="preserve">S. Katipamula, J. Haack, G. Hernandez, B. Akyol, J. Hagerman, VOLTTRON: An Open-Source Software Platform of the Future, IEEE Electrif. Mag. 4 (2016) 15–22. https://doi.org/10.1109/MELE.2016.2614178.</w:t>
      </w:r>
    </w:p>
    <w:p>
      <w:pPr>
        <w:pStyle w:val="EndNoteBibliography"/>
      </w:pPr>
      <w:r>
        <w:t xml:space="preserve">[39]</w:t>
        <w:tab/>
      </w:r>
      <w:r>
        <w:t xml:space="preserve">U.S. Department of Energy, EnergyPlus External Interface(s) Application Guide: BCVTB Examples, version 9.0, 2018. https://bigladdersoftware.com/epx/docs/9-0/external-interfaces-application-guide/bcvtb-examples.html (accessed 2026-10-28).</w:t>
      </w:r>
    </w:p>
    <w:p>
      <w:pPr>
        <w:pStyle w:val="EndNoteBibliography"/>
      </w:pPr>
      <w:r>
        <w:t xml:space="preserve">[40]</w:t>
        <w:tab/>
      </w:r>
      <w:r>
        <w:t xml:space="preserve">Lawrence Berkeley National Laboratory, FMU Export of EnergyPlus User Guide, Section 5: Usage of EnergyPlus as an FMU, 2021. https://simulationresearch.lbl.gov/fmu/EnergyPlus/export/userGuide/usage.html (accessed 2026-10-28).</w:t>
      </w:r>
    </w:p>
    <w:p>
      <w:pPr>
        <w:pStyle w:val="EndNoteBibliography"/>
      </w:pPr>
      <w:r>
        <w:t xml:space="preserve">[41]</w:t>
        <w:tab/>
      </w:r>
      <w:r>
        <w:t xml:space="preserve">U.S. Department of Energy, EnergyPlus Input Output Reference: Group – Python Plugins / Python EMS, version 22.2, 2022. https://bigladdersoftware.com/epx/docs/22-2/input-output-reference/group-python-plugins.html (accessed 2026-10-28).</w:t>
      </w:r>
    </w:p>
    <w:p>
      <w:pPr>
        <w:pStyle w:val="EndNoteBibliography"/>
      </w:pPr>
      <w:r>
        <w:t xml:space="preserve">[42]</w:t>
        <w:tab/>
      </w:r>
      <w:r>
        <w:t xml:space="preserve">A. Campoy-Nieves, A. Manjavacas, J. Jiménez-Raboso, M. Molina-Solana, J. Gómez-Romero, Sinergym – A virtual testbed for building energy optimization with Reinforcement Learning, Energy Build. 327 (2025) 115075. https://doi.org/10.1016/j.enbuild.2024.115075.</w:t>
      </w:r>
    </w:p>
    <w:p>
      <w:pPr>
        <w:pStyle w:val="EndNoteBibliography"/>
      </w:pPr>
      <w:r>
        <w:t xml:space="preserve">[43]</w:t>
        <w:tab/>
      </w:r>
      <w:r>
        <w:t xml:space="preserve">P. Scharnhorst, B. Schubnel, C. Fernández Bandera, J. Salom, P. Taddeo, M. Boegli, T. Gorecki, Y. Stauffer, A. Peppas, C. Politi, Energym: A Building Model Library for Controller Benchmarking, Appl. Sci. 11 (2021) 3518. https://doi.org/10.3390/app11083518.</w:t>
      </w:r>
    </w:p>
    <w:p>
      <w:pPr>
        <w:pStyle w:val="EndNoteBibliography"/>
      </w:pPr>
      <w:r>
        <w:t xml:space="preserve">[44]</w:t>
        <w:tab/>
      </w:r>
      <w:r>
        <w:t xml:space="preserve">K. Nweye, K. Kaspar, G. Buscemi, T. Fonseca, G. Pinto, D. Ghose, S. Duddukuru, P. Pratapa, H. Li, J. Mohammadi, L. Lino Ferreira, T. Hong, M. Ouf, A. Capozzoli, Z. Nagy, CityLearn v2: energy-flexible, resilient, occupant-centric, and carbon-aware management of grid-interactive communities, J. Build. Perform. Simul. 18 (2025) 17–38. https://doi.org/10.1080/19401493.2024.2418813.</w:t>
      </w:r>
    </w:p>
    <w:p>
      <w:pPr>
        <w:pStyle w:val="EndNoteBibliography"/>
      </w:pPr>
      <w:r>
        <w:t xml:space="preserve">[45]</w:t>
        <w:tab/>
      </w:r>
      <w:r>
        <w:t xml:space="preserve">K. Benne, T. Shapinsky, A. Petersen, Alfalfa Virtual Building Service: Software Engineering Best Practices Applied to Runtime Interaction with Building Energy Models, IBPSA-USA SimBuild 2024 Conference, Denver, Colorado, 21–23 May 2024, National Renewable Energy Laboratory, Golden, CO, 2024. https://www.osti.gov/biblio/2407013.</w:t>
      </w:r>
    </w:p>
    <w:p>
      <w:pPr>
        <w:pStyle w:val="EndNoteBibliography"/>
      </w:pPr>
      <w:r>
        <w:t xml:space="preserve">[46]</w:t>
        <w:tab/>
      </w:r>
      <w:r>
        <w:t xml:space="preserve">T. Sawada, M. Mizuno, T. Hasegawa, K. Yokoyama, M. Kono, Office-in-the-Loop: an investigation into Agentic AI for advanced building HVAC control systems, Data-Centric Eng. 6 (2025) e31. https://doi.org/10.1017/dce.2025.10010.</w:t>
      </w:r>
    </w:p>
    <w:p>
      <w:pPr>
        <w:pStyle w:val="EndNoteBibliography"/>
      </w:pPr>
      <w:r>
        <w:t xml:space="preserve">[47]</w:t>
        <w:tab/>
      </w:r>
      <w:r>
        <w:t xml:space="preserve">G. Jiang, Z. Ma, L. Zhang, J. Chen, EPlus-LLM: A large language model-based computing platform for automated building energy modeling, Appl. Energy 367 (2024) 123431. https://doi.org/10.1016/j.apenergy.2024.123431.</w:t>
      </w:r>
    </w:p>
    <w:p>
      <w:pPr>
        <w:pStyle w:val="EndNoteBibliography"/>
      </w:pPr>
      <w:r>
        <w:t xml:space="preserve">[48]</w:t>
        <w:tab/>
      </w:r>
      <w:r>
        <w:t xml:space="preserve">B. Eaton, J. Gregory, B. Drach, K. Taylor, S. Hankin, J. Blower, J. Caron, R. Signell, P. Bentley, G. Rappa, H. Höck, A. Pamment, M. Juckes, M. Raspaud, R. Horne, T. Whiteaker, D. Blodgett, C. Zender, D. Lee, D. Hassell, A.D. Snow, T. Kölling, D. Allured, A. Jelenak, A. Meier Soerensen, L. Gaultier, S. Herlédan, F. Manzano, L. Bärring, C. Barker, S. Bartholomew, NetCDF Climate and Forecast (CF) Metadata Conventions, version 1.11, 2023. https://cfconventions.org/Data/cf-conventions/cf-conventions-1.11/cf-conventions.html (accessed 2026-10-28).</w:t>
      </w:r>
    </w:p>
    <w:p>
      <w:pPr>
        <w:pStyle w:val="EndNoteBibliography"/>
      </w:pPr>
      <w:r>
        <w:t xml:space="preserve">[49]</w:t>
        <w:tab/>
      </w:r>
      <w:r>
        <w:t xml:space="preserve">Open Geospatial Consortium, OGC WaterML 2.0: Part 1 – Timeseries, Version 2.0.1, OGC 10-126r4, 2014. https://docs.ogc.org/is/10-126r4/10-126r4.pdf.</w:t>
      </w:r>
    </w:p>
    <w:p>
      <w:pPr>
        <w:pStyle w:val="EndNoteBibliography"/>
      </w:pPr>
      <w:r>
        <w:t xml:space="preserve">[50]</w:t>
        <w:tab/>
      </w:r>
      <w:r>
        <w:t xml:space="preserve">OPC Foundation, OPC Unified Architecture – Part 8: Data Access, OPC 10000-8, Release 1.05.07, 2026. https://reference.opcfoundation.org/specs/OPC-10000-8.</w:t>
      </w:r>
    </w:p>
    <w:p>
      <w:pPr>
        <w:pStyle w:val="EndNoteBibliography"/>
      </w:pPr>
      <w:r>
        <w:t xml:space="preserve">[51]</w:t>
        <w:tab/>
      </w:r>
      <w:r>
        <w:t xml:space="preserve">L. Moreau, P. Missier, PROV-DM: The PROV Data Model, W3C Recommendation, World Wide Web Consortium (W3C), 2013. https://www.w3.org/TR/2013/REC-prov-dm-20130430/.</w:t>
      </w:r>
    </w:p>
    <w:p>
      <w:pPr>
        <w:pStyle w:val="EndNoteBibliography"/>
      </w:pPr>
      <w:r>
        <w:t xml:space="preserve">[52]</w:t>
        <w:tab/>
      </w:r>
      <w:r>
        <w:t xml:space="preserve">Y. Chen, S. Zhang, Q. Guo, L. Li, R. Wu, T. Chen, Deterministic Replay: A Survey, ACM Comput. Surv. 48 (2015) 1–47. https://doi.org/10.1145/2790077.</w:t>
      </w:r>
    </w:p>
    <w:p>
      <w:pPr>
        <w:pStyle w:val="EndNoteBibliography"/>
      </w:pPr>
      <w:r>
        <w:t xml:space="preserve">[53]</w:t>
        <w:tab/>
      </w:r>
      <w:r>
        <w:t xml:space="preserve">E. Feng, W. Zhou, Z. Liu, L. Chen, Y. Dong, C. Zhang, Y. Zhao, D. Du, Z. Hua, Y. Xia, H. Chen, Get Experience from Practice: LLM Agents with Record &amp; Replay, arXiv, 2025. https://doi.org/10.48550/arXiv.2505.17716.</w:t>
      </w:r>
    </w:p>
    <w:p>
      <w:pPr>
        <w:pStyle w:val="EndNoteBibliography"/>
      </w:pPr>
      <w:r>
        <w:t xml:space="preserve">[54]</w:t>
        <w:tab/>
      </w:r>
      <w:r>
        <w:t xml:space="preserve">T.A. Henzinger, B. Horowitz, C.M. Kirsch, Giotto: a time-triggered language for embedded programming, Proc. IEEE 91 (2003) 84–99. https://doi.org/10.1109/JPROC.2002.805825.</w:t>
      </w:r>
    </w:p>
    <w:p>
      <w:pPr>
        <w:pStyle w:val="EndNoteBibliography"/>
      </w:pPr>
      <w:r>
        <w:t xml:space="preserve">[55]</w:t>
        <w:tab/>
      </w:r>
      <w:r>
        <w:t xml:space="preserve">M. Lohstroh, C. Menard, S. Bateni, E.A. Lee, Toward a Lingua Franca for Deterministic Concurrent Systems, ACM Trans. Embed. Comput. Syst. 20 (2021) 1–27. https://doi.org/10.1145/3448128.</w:t>
      </w:r>
    </w:p>
    <w:p>
      <w:pPr>
        <w:pStyle w:val="EndNoteBibliography"/>
      </w:pPr>
      <w:r>
        <w:t xml:space="preserve">[56]</w:t>
        <w:tab/>
      </w:r>
      <w:r>
        <w:t xml:space="preserve">International Electrotechnical Commission, Communication networks and systems for power utility automation – Part 7-3: Basic communication structure – Common data classes, IEC 61850-7-3:2010, Edition 2.0, 2010. https://webstore.iec.ch/en/publication/6016.</w:t>
      </w:r>
    </w:p>
    <w:p>
      <w:pPr>
        <w:pStyle w:val="EndNoteBibliography"/>
      </w:pPr>
      <w:r>
        <w:t xml:space="preserve">[57]</w:t>
        <w:tab/>
      </w:r>
      <w:r>
        <w:t xml:space="preserve">A.P. Dobos, PVWatts Version 5 Manual, National Renewable Energy Laboratory, Golden, CO, 2014. https://doi.org/10.2172/1158421.</w:t>
      </w:r>
    </w:p>
    <w:p>
      <w:pPr>
        <w:pStyle w:val="EndNoteBibliography"/>
      </w:pPr>
      <w:r>
        <w:t xml:space="preserve">[58]</w:t>
        <w:tab/>
      </w:r>
      <w:r>
        <w:t xml:space="preserve">Federal Highway Administration, 2017 National Household Travel Survey, 2017. https://nhts.ornl.gov (accessed 2026-10-28).</w:t>
      </w:r>
    </w:p>
    <w:p>
      <w:pPr>
        <w:pStyle w:val="EndNoteBibliography"/>
      </w:pPr>
      <w:r>
        <w:t xml:space="preserve">[59]</w:t>
        <w:tab/>
      </w:r>
      <w:r>
        <w:t xml:space="preserve">D.B. Crawley, L.K. Lawrie, F.C. Winkelmann, W.F. Buhl, Y.J. Huang, C.O. Pedersen, R.K. Strand, R.J. Liesen, D.E. Fisher, M.J. Witte, J. Glazer, EnergyPlus: creating a new-generation building energy simulation program, Energy Build. 33 (2001) 319–331. https://doi.org/10.1016/S0378-7788(00)00114-6.</w:t>
      </w:r>
    </w:p>
    <w:p>
      <w:pPr>
        <w:pStyle w:val="EndNoteBibliography"/>
      </w:pPr>
      <w:r>
        <w:t xml:space="preserve">[60]</w:t>
        <w:tab/>
      </w:r>
      <w:r>
        <w:t xml:space="preserve">M. Deru, K. Field, D. Studer, K. Benne, B. Griffith, P. Torcellini, B. Liu, M. Halverson, D. Winiarski, M. Rosenberg, M. Yazdanian, J. Huang, D. Crawley, U.S. Department of Energy Commercial Reference Building Models of the National Building Stock, National Renewable Energy Laboratory, Golden, CO, 2011. https://doi.org/10.2172/1009264.</w:t>
      </w:r>
      <w:r>
        <w:fldChar w:fldCharType="end"/>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57&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21&lt;/item&gt;&lt;item&gt;33&lt;/item&gt;&lt;item&gt;53&lt;/item&gt;&lt;item&gt;36&lt;/item&gt;&lt;item&gt;17&lt;/item&gt;&lt;item&gt;22&lt;/item&gt;&lt;item&gt;13&lt;/item&gt;&lt;item&gt;15&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0" Type="http://schemas.openxmlformats.org/officeDocument/2006/relationships/hyperlink" Target="mailto:corresponding.author@university.edu"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
  <cp:lastModifiedBy/>
  <dcterms:created xsi:type="dcterms:W3CDTF">2026-10-28T19:47:01Z</dcterms:created>
  <dcterms:modified xsi:type="dcterms:W3CDTF">2026-10-28T19:47:01Z</dcterms:modified>
</cp:coreProperties>
</file>