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of building energy and artificial intelligence models</w:t>
      </w:r>
    </w:p>
    <w:p>
      <w:pPr>
        <w:pStyle w:val="Authors"/>
      </w:pPr>
      <w:r>
        <w:t xml:space="preserve">Liang Zhang</w:t>
      </w:r>
      <w:r>
        <w:rPr>
          <w:vertAlign w:val="superscript"/>
        </w:rPr>
        <w:t xml:space="preserve">1,2,*</w:t>
      </w:r>
      <w:r>
        <w:t xml:space="preserve">, </w:t>
      </w:r>
      <w:r>
        <w:t xml:space="preserve">Saquib Mohammed Haroon</w:t>
      </w:r>
      <w:r>
        <w:rPr>
          <w:vertAlign w:val="superscript"/>
        </w:rPr>
        <w:t xml:space="preserve">3</w:t>
      </w:r>
      <w:r>
        <w:t xml:space="preserve">, </w:t>
      </w:r>
      <w:r>
        <w:t xml:space="preserve">Alyssa Ryan</w:t>
      </w:r>
      <w:r>
        <w:rPr>
          <w:vertAlign w:val="superscript"/>
        </w:rPr>
        <w:t xml:space="preserve">4</w:t>
      </w:r>
    </w:p>
    <w:p>
      <w:pPr>
        <w:pStyle w:val="Affiliation"/>
      </w:pPr>
      <w:r>
        <w:rPr>
          <w:vertAlign w:val="superscript"/>
        </w:rPr>
        <w:t xml:space="preserve">1</w:t>
      </w:r>
      <w:r>
        <w:t xml:space="preserve"> </w:t>
      </w:r>
      <w:r>
        <w:t xml:space="preserve">University of Arizona, Tucson, Arizona, USA</w:t>
      </w:r>
    </w:p>
    <w:p>
      <w:pPr>
        <w:pStyle w:val="Affiliation"/>
      </w:pPr>
      <w:r>
        <w:rPr>
          <w:vertAlign w:val="superscript"/>
        </w:rPr>
        <w:t xml:space="preserve">2</w:t>
      </w:r>
      <w:r>
        <w:t xml:space="preserve"> </w:t>
      </w:r>
      <w:r>
        <w:t xml:space="preserve">National Laboratory of the Rockies (formerly National Renewable Energy Laboratory), Golden, Colorado, USA</w:t>
      </w:r>
    </w:p>
    <w:p>
      <w:pPr>
        <w:pStyle w:val="Affiliation"/>
      </w:pPr>
      <w:r>
        <w:rPr>
          <w:vertAlign w:val="superscript"/>
        </w:rPr>
        <w:t xml:space="preserve">3</w:t>
      </w:r>
      <w:r>
        <w:t xml:space="preserve"> </w:t>
      </w:r>
      <w:r>
        <w:t xml:space="preserve">AAA Foundation for Traffic Safety, Washington, DC, USA</w:t>
      </w:r>
    </w:p>
    <w:p>
      <w:pPr>
        <w:pStyle w:val="Affiliation"/>
      </w:pPr>
      <w:r>
        <w:rPr>
          <w:vertAlign w:val="superscript"/>
        </w:rPr>
        <w:t xml:space="preserve">4</w:t>
      </w:r>
      <w:r>
        <w:t xml:space="preserve"> </w:t>
      </w:r>
      <w:r>
        <w:t xml:space="preserve">Michigan State University, East Lansing, Michigan, USA</w:t>
      </w:r>
    </w:p>
    <w:p>
      <w:pPr>
        <w:pStyle w:val="Correspondence"/>
      </w:pPr>
      <w:r>
        <w:rPr>
          <w:vertAlign w:val="superscript"/>
        </w:rPr>
        <w:t xml:space="preserve">*</w:t>
      </w:r>
      <w:r>
        <w:t xml:space="preserve"> Corresponding author.</w:t>
      </w:r>
      <w:r>
        <w:t xml:space="preserve"> E-mail address: </w:t>
      </w:r>
      <w:hyperlink r:id="rId100" w:history="1">
        <w:r>
          <w:rPr>
            <w:rStyle w:val="Hyperlink"/>
          </w:rPr>
          <w:t xml:space="preserve">liangzhang1@arizona.edu</w:t>
        </w:r>
      </w:hyperlink>
      <w:r>
        <w:t xml:space="preserve"> (Liang Zhang)</w:t>
      </w:r>
    </w:p>
    <w:p>
      <w:pPr>
        <w:pStyle w:val="HeadingUnnumbered"/>
      </w:pPr>
      <w:r>
        <w:t xml:space="preserve">Abstract</w:t>
      </w:r>
    </w:p>
    <w:p>
      <w:pPr>
        <w:pStyle w:val="Abstract"/>
      </w:pPr>
      <w:r>
        <w:t xml:space="preserve">Building energy models are increasingly co-simulated with photovoltaic systems, batteries, tariffs, occupant and machine-learning models, and large language model agents. Co-simulation tools connect such programs but exchange values as numbers stamped with an instant, leaving users to decide which interval each value belongs to, and offer no rules for artificial intelligence (AI) components that answer differently on every call, return invalid values or respond slowly.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automatically, flags their quality, records them for exact replay, traces their provenance and delivers the answers of slow components at a declared simulation time. Co-simulated EnergyPlus results were identical to standalone runs. Aligned exchange computed energy and cost exactly when a consumer’s step was a multiple of its producer’s, whereas exchanging latest values erred by up to 6 %. In a ten-office community with photovoltaics and a battery, naive exchange overstated the battery’s peak reduction (peak import 120 kW instead of 135 kW). Replay reproduced runs with a stochastic AI supervisor exactly and cut the spread of a retrofit-savings estimate 24-fold; asynchronous delivery shortened runs with eight slow AI supervisors 2.9-fold without changing results. The code is available at https://github.com/lz356/Py-CoSim.</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OTMyMjE2NDkiPjU4PC9rZXk+PC9mb3JlaWduLWtleXM+PHJlZi10eXBlIG5hbWU9IlJlcG9ydCI+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IiB0aW1lc3RhbXA9IjE3OTMyMjE2NDkiPjM1PC9rZXk+PC9mb3JlaWduLWtleXM+PHJlZi10eXBl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 </w:instrTex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OTMyMjE2NDkiPjU4PC9rZXk+PC9mb3JlaWduLWtleXM+PHJlZi10eXBlIG5hbWU9IlJlcG9ydCI+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IiB0aW1lc3RhbXA9IjE3OTMyMjE2NDkiPjM1PC9rZXk+PC9mb3JlaWduLWtleXM+PHJlZi10eXBl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EN.CITE.DATA </w:instrText>
      </w:r>
      <w:r>
        <w:fldChar w:fldCharType="end"/>
      </w:r>
      <w:r>
        <w:fldChar w:fldCharType="separate"/>
      </w:r>
      <w:r>
        <w:rPr>
          <w:noProof/>
        </w:rPr>
        <w:t>[1,2]</w:t>
      </w:r>
      <w:r>
        <w:fldChar w:fldCharType="end"/>
      </w:r>
      <w:r>
        <w:t xml:space="preserve">. Occupant models, machine-learning (ML) predictors and, increasingly, large language models (LLMs) take part in the control loop </w: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MzIyMTY0OSI+ODM8L2tleT48L2ZvcmVpZ24ta2V5cz48cmVmLXR5cGUgbmFtZT0iSm91cm5hbCBB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YWZmOWMwODZlMTZjYzI1ODk1IiB0aW1lc3RhbXA9IjE3OTMyMjE2NDkiPjE8L2tleT48L2ZvcmVp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PSIxNzkzMjIxNjQ5Ij45NDwva2V5PjwvZm9yZWlnbi1rZXlzPjxyZWYtdHlwZSBuYW1lPSJKb3Vy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NSIgdGltZXN0YW1wPSIxNzkzMjIxNjQ5Ij41MTwva2V5PjwvZm9yZWlnbi1rZXlzPjxyZWYtdHlw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 </w:instrTex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MzIyMTY0OSI+ODM8L2tleT48L2ZvcmVpZ24ta2V5cz48cmVmLXR5cGUgbmFtZT0iSm91cm5hbCBB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YWZmOWMwODZlMTZjYzI1ODk1IiB0aW1lc3RhbXA9IjE3OTMyMjE2NDkiPjE8L2tleT48L2ZvcmVp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PSIxNzkzMjIxNjQ5Ij45NDwva2V5PjwvZm9yZWlnbi1rZXlzPjxyZWYtdHlwZSBuYW1lPSJKb3Vy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NSIgdGltZXN0YW1wPSIxNzkzMjIxNjQ5Ij41MTwva2V5PjwvZm9yZWlnbi1rZXlzPjxyZWYtdHlw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EN.CITE.DATA </w:instrText>
      </w:r>
      <w:r>
        <w:fldChar w:fldCharType="end"/>
      </w:r>
      <w:r>
        <w:fldChar w:fldCharType="separate"/>
      </w:r>
      <w:r>
        <w:rPr>
          <w:noProof/>
        </w:rPr>
        <w:t>[3–6]</w:t>
      </w:r>
      <w:r>
        <w:fldChar w:fldCharType="end"/>
      </w:r>
      <w:r>
        <w:t xml:space="preserve">. No single program models all of this. Co-simulation, the coupled execution of separate models that exchange data at run time, is therefore the standard way to study such systems </w: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MjIxNjQ5Ij4yNjwva2V5PjwvZm9yZWlnbi1rZXlzPjxyZWYtdHlwZSBuYW1lPSJKb3VybmFsIEFy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MDEwOTQ5NmZlYTRhZmY5YzA4NmUxNmNjMjU4OTUiIHRpbWVzdGFtcD0iMTc5MzIyMTY0OSI+MzQ8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 </w:instrTex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MjIxNjQ5Ij4yNjwva2V5PjwvZm9yZWlnbi1rZXlzPjxyZWYtdHlwZSBuYW1lPSJKb3VybmFsIEFy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MDEwOTQ5NmZlYTRhZmY5YzA4NmUxNmNjMjU4OTUiIHRpbWVzdGFtcD0iMTc5MzIyMTY0OSI+MzQ8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EN.CITE.DATA </w:instrText>
      </w:r>
      <w:r>
        <w:fldChar w:fldCharType="end"/>
      </w:r>
      <w:r>
        <w:fldChar w:fldCharType="separate"/>
      </w:r>
      <w:r>
        <w:rPr>
          <w:noProof/>
        </w:rPr>
        <w:t>[7,8]</w:t>
      </w:r>
      <w:r>
        <w:fldChar w:fldCharType="end"/>
      </w:r>
      <w:r>
        <w:t xml:space="preserve">.</w:t>
      </w:r>
    </w:p>
    <w:p>
      <w:pPr>
        <w:pStyle w:val="BodyText"/>
      </w:pPr>
      <w:r>
        <w:t xml:space="preserve">Most co-simulation infrastructure is organized around connecting software. The Functional Mock-up Interface (FMI) packages a model behind a standard programming interface </w: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NzkzMjIxNjQ5Ij42PC9rZXk+PC9mb3JlaWduLWtleXM+PHJlZi10eXBlIG5hbWU9IkNvbmZlcmVu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Y2MyNTg5NSIgdGltZXN0YW1wPSIxNzkzMjIxNjQ5Ij40Mjwva2V5PjwvZm9yZWlnbi1rZXlzPjxy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 </w:instrTex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NzkzMjIxNjQ5Ij42PC9rZXk+PC9mb3JlaWduLWtleXM+PHJlZi10eXBlIG5hbWU9IkNvbmZlcmVu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Y2MyNTg5NSIgdGltZXN0YW1wPSIxNzkzMjIxNjQ5Ij40Mjwva2V5PjwvZm9yZWlnbi1rZXlzPjxy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EN.CITE.DATA </w:instrText>
      </w:r>
      <w:r>
        <w:fldChar w:fldCharType="end"/>
      </w:r>
      <w:r>
        <w:fldChar w:fldCharType="separate"/>
      </w:r>
      <w:r>
        <w:rPr>
          <w:noProof/>
        </w:rPr>
        <w:t>[9,10]</w:t>
      </w:r>
      <w:r>
        <w:fldChar w:fldCharType="end"/>
      </w:r>
      <w:r>
        <w:t xml:space="preserve">. The Building Controls Virtual Test Bed (BCVTB) and EnergyPlus’s External Interface link EnergyPlus to other programs through sockets </w: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NzkzMjIxNjQ5Ij44NTwva2V5PjwvZm9yZWlnbi1rZXlzPjxyZWYtdHlwZSBuYW1lPSJKb3VybmFs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ZjljMDg2ZTE2Y2MyNTg5NSIgdGltZXN0YW1wPSIxNzkzMjIxNjQ5Ij41OTwva2V5PjwvZm9yZWln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 </w:instrTex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NzkzMjIxNjQ5Ij44NTwva2V5PjwvZm9yZWlnbi1rZXlzPjxyZWYtdHlwZSBuYW1lPSJKb3VybmFs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ZjljMDg2ZTE2Y2MyNTg5NSIgdGltZXN0YW1wPSIxNzkzMjIxNjQ5Ij41OTwva2V5PjwvZm9yZWln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EN.CITE.DATA </w:instrText>
      </w:r>
      <w:r>
        <w:fldChar w:fldCharType="end"/>
      </w:r>
      <w:r>
        <w:fldChar w:fldCharType="separate"/>
      </w:r>
      <w:r>
        <w:rPr>
          <w:noProof/>
        </w:rPr>
        <w:t>[11,12]</w:t>
      </w:r>
      <w:r>
        <w:fldChar w:fldCharType="end"/>
      </w:r>
      <w:r>
        <w:t xml:space="preserve">. Spawn of EnergyPlus couples Modelica with EnergyPlus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timestamp="1793221649"&gt;86&lt;/key&gt;&lt;/foreign-keys&gt;&lt;ref-type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Gym-style environments such as Sinergym, COBS and BOPTEST wrap a building model for reinforcement learning </w: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aW1lc3RhbXA9IjE3OTMyMjE2NDkiPjQxPC9rZXk+PC9mb3JlaWduLWtleXM+PHJlZi10eXBlIG5h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ZGFlODUwMDEwOTQ5NmZlYTRhZmY5YzA4NmUxNmNjMjU4OTUiIHRpbWVzdGFtcD0iMTc5MzIyMTY0
OSI+OTA8L2tleT48L2ZvcmVpZ24ta2V5cz48cmVmLXR5cGUgbmFtZT0iQ29uZmVyZW5jZSBQYXBl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aW1lc3RhbXA9IjE3OTMyMjE2NDkiPjc8L2tleT48L2ZvcmVpZ24ta2V5cz48cmVmLXR5cGUgbmFt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 </w:instrTex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aW1lc3RhbXA9IjE3OTMyMjE2NDkiPjQxPC9rZXk+PC9mb3JlaWduLWtleXM+PHJlZi10eXBlIG5h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ZGFlODUwMDEwOTQ5NmZlYTRhZmY5YzA4NmUxNmNjMjU4OTUiIHRpbWVzdGFtcD0iMTc5MzIyMTY0
OSI+OTA8L2tleT48L2ZvcmVpZ24ta2V5cz48cmVmLXR5cGUgbmFtZT0iQ29uZmVyZW5jZSBQYXBl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aW1lc3RhbXA9IjE3OTMyMjE2NDkiPjc8L2tleT48L2ZvcmVpZ24ta2V5cz48cmVmLXR5cGUgbmFt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EN.CITE.DATA </w:instrText>
      </w:r>
      <w:r>
        <w:fldChar w:fldCharType="end"/>
      </w:r>
      <w:r>
        <w:fldChar w:fldCharType="separate"/>
      </w:r>
      <w:r>
        <w:rPr>
          <w:noProof/>
        </w:rPr>
        <w:t>[14–16]</w:t>
      </w:r>
      <w:r>
        <w:fldChar w:fldCharType="end"/>
      </w:r>
      <w:r>
        <w:t xml:space="preserve">. Message-based frameworks such as HELICS and mosaik let simulators publish and subscribe to values through a broker or scheduler </w: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YW1wPSIxNzkzMjIxNjQ5Ij42ODwva2V5PjwvZm9yZWlnbi1rZXlzPjxyZWYtdHlwZSBuYW1lPSJD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OTMyMjE2NDkiPjI5PC9rZXk+PC9mb3JlaWduLWtleXM+PHJlZi10eXBlIG5hbWU9IkpvdXJuYWwg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YTRhZmY5YzA4NmUxNmNjMjU4OTUiIHRpbWVzdGFtcD0iMTc5MzIyMTY0OSI+Nzg8L2tleT48L2Zv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YzA4NmUxNmNjMjU4OTUiIHRpbWVzdGFtcD0iMTc5MzIyMTY0OSI+NjI8L2tleT48L2ZvcmVpZ24t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 </w:instrTex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YW1wPSIxNzkzMjIxNjQ5Ij42ODwva2V5PjwvZm9yZWlnbi1rZXlzPjxyZWYtdHlwZSBuYW1lPSJD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OTMyMjE2NDkiPjI5PC9rZXk+PC9mb3JlaWduLWtleXM+PHJlZi10eXBlIG5hbWU9IkpvdXJuYWwg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YTRhZmY5YzA4NmUxNmNjMjU4OTUiIHRpbWVzdGFtcD0iMTc5MzIyMTY0OSI+Nzg8L2tleT48L2Zv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YzA4NmUxNmNjMjU4OTUiIHRpbWVzdGFtcD0iMTc5MzIyMTY0OSI+NjI8L2tleT48L2ZvcmVpZ24t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EN.CITE.DATA </w:instrText>
      </w:r>
      <w:r>
        <w:fldChar w:fldCharType="end"/>
      </w:r>
      <w:r>
        <w:fldChar w:fldCharType="separate"/>
      </w:r>
      <w:r>
        <w:rPr>
          <w:noProof/>
        </w:rPr>
        <w:t>[17–20]</w:t>
      </w:r>
      <w:r>
        <w:fldChar w:fldCharType="end"/>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timestamp="1793221649"&gt;20&lt;/key&gt;&lt;/foreign-keys&gt;&lt;ref-type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NzkzMjIxNjQ5Ij40Nzwva2V5PjwvZm9yZWlnbi1rZXlzPjxyZWYtdHlwZSBuYW1lPSJKb3VybmFs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OTQ5NmZlYTRhZmY5YzA4NmUxNmNjMjU4OTUiIHRpbWVzdGFtcD0iMTc5MzIyMTY0OSI+MjY8L2tl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NzkzMjIxNjQ5Ij40Nzwva2V5PjwvZm9yZWlnbi1rZXlzPjxyZWYtdHlwZSBuYW1lPSJKb3VybmFs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OTQ5NmZlYTRhZmY5YzA4NmUxNmNjMjU4OTUiIHRpbWVzdGFtcD0iMTc5MzIyMTY0OSI+MjY8L2tl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and they are usually fixed by hand for each connection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IjE3OTMyMjE2NDkiPjgxPC9rZXk+PC9mb3JlaWduLWtleXM+PHJlZi10eXBlIG5hbWU9IkNvbmZl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MjIxNjQ5Ij4yNzwva2V5PjwvZm9yZWlnbi1rZXlzPjxyZWYtdHlwZSBuYW1lPSJKb3VybmFsIEFy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IjE3OTMyMjE2NDkiPjgxPC9rZXk+PC9mb3JlaWduLWtleXM+PHJlZi10eXBlIG5hbWU9IkNvbmZl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MjIxNjQ5Ij4yNzwva2V5PjwvZm9yZWlnbi1rZXlzPjxyZWYtdHlwZSBuYW1lPSJKb3VybmFsIEFy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BodyText"/>
      </w:pPr>
      <w:r>
        <w:t xml:space="preserve">The second reason is that AI components behave differently from physics models. A physics model is deterministic, fast, always returns a valid number, and needs only its current inputs. A hosted LLM may answer the same prompt differently on each call, even at temperature zero </w:t>
      </w:r>
      <w:r>
        <w:fldChar w:fldCharType="begin"/>
      </w:r>
      <w:r>
        <w:instrText xml:space="preserve"> ADDIN EN.CITE &lt;EndNote&gt;&lt;Cite&gt;&lt;Author&gt;Ouyang&lt;/Author&gt;&lt;Year&gt;2025&lt;/Year&gt;&lt;RecNum&gt;66&lt;/RecNum&gt;&lt;DisplayText&gt;[25]&lt;/DisplayText&gt;&lt;record&gt;&lt;rec-number&gt;66&lt;/rec-number&gt;&lt;foreign-keys&gt;&lt;key app="EN" db-id="mdae8500109496fea4aff9c086e16cc25895" timestamp="1793221649"&gt;66&lt;/key&gt;&lt;/foreign-keys&gt;&lt;ref-type name="Journal Article"&gt;17&lt;/ref-type&gt;&lt;contributors&gt;&lt;authors&gt;&lt;author&gt;Ouyang, Shuyin&lt;/author&gt;&lt;author&gt;Zhang, Jie M.&lt;/author&gt;&lt;author&gt;Harman, Mark&lt;/author&gt;&lt;author&gt;Wang, Meng&lt;/author&gt;&lt;/authors&gt;&lt;/contributors&gt;&lt;titles&gt;&lt;title&gt;An Empirical Study of the Non-Determinism of ChatGPT in Code Generation&lt;/title&gt;&lt;secondary-title&gt;ACM Transactions on Software Engineering and Methodology&lt;/secondary-title&gt;&lt;alt-title&gt;ACM Trans. Softw. Eng. Methodol.&lt;/alt-title&gt;&lt;/titles&gt;&lt;periodical&gt;&lt;full-title&gt;ACM Transactions on Software Engineering and Methodology&lt;/full-title&gt;&lt;abbr-1&gt;ACM Trans. Softw. Eng. Methodol.&lt;/abbr-1&gt;&lt;/periodical&gt;&lt;pages&gt;1-28&lt;/pages&gt;&lt;volume&gt;34&lt;/volume&gt;&lt;number&gt;2&lt;/number&gt;&lt;dates&gt;&lt;year&gt;2025&lt;/year&gt;&lt;/dates&gt;&lt;publisher&gt;ACM&lt;/publisher&gt;&lt;label&gt;ouyang2025&lt;/label&gt;&lt;urls&gt;&lt;/urls&gt;&lt;electronic-resource-num&gt;10.1145/3697010&lt;/electronic-resource-num&gt;&lt;/record&gt;&lt;/Cite&gt;&lt;/EndNote&gt;</w:instrText>
      </w:r>
      <w:r>
        <w:fldChar w:fldCharType="separate"/>
      </w:r>
      <w:r>
        <w:rPr>
          <w:noProof/>
        </w:rPr>
        <w:t>[25]</w:t>
      </w:r>
      <w:r>
        <w:fldChar w:fldCharType="end"/>
      </w:r>
      <w:r>
        <w:t xml:space="preserve">. It may time out, refuse, or return text that is not a valid control signal. One call can take seconds while a building time step takes milliseconds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timestamp="1793221649"&gt;57&lt;/key&gt;&lt;/foreign-keys&gt;&lt;ref-type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 An ML predictor needs a history of features rather than a single value. Reinforcement-learning results are notoriously hard to reproduce </w:t>
      </w:r>
      <w:r>
        <w:fldChar w:fldCharType="begin"/>
      </w:r>
      <w:r>
        <w:instrText xml:space="preserve"> ADDIN EN.CITE &lt;EndNote&gt;&lt;Cite&gt;&lt;Author&gt;Henderson&lt;/Author&gt;&lt;Year&gt;2018&lt;/Year&gt;&lt;RecNum&gt;32&lt;/RecNum&gt;&lt;DisplayText&gt;[27]&lt;/DisplayText&gt;&lt;record&gt;&lt;rec-number&gt;32&lt;/rec-number&gt;&lt;foreign-keys&gt;&lt;key app="EN" db-id="mdae8500109496fea4aff9c086e16cc25895" timestamp="1793221649"&gt;32&lt;/key&gt;&lt;/foreign-keys&gt;&lt;ref-type name="Conference Paper"&gt;47&lt;/ref-type&gt;&lt;contributors&gt;&lt;authors&gt;&lt;author&gt;Henderson, Peter&lt;/author&gt;&lt;author&gt;Islam, Riashat&lt;/author&gt;&lt;author&gt;Bachman, Philip&lt;/author&gt;&lt;author&gt;Pineau, Joelle&lt;/author&gt;&lt;author&gt;Precup, Doina&lt;/author&gt;&lt;author&gt;Meger, David&lt;/author&gt;&lt;/authors&gt;&lt;/contributors&gt;&lt;titles&gt;&lt;title&gt;Deep Reinforcement Learning That Matters&lt;/title&gt;&lt;secondary-title&gt;Proceedings of the AAAI Conference on Artificial Intelligence&lt;/secondary-title&gt;&lt;/titles&gt;&lt;pages&gt;3207-3214&lt;/pages&gt;&lt;volume&gt;32&lt;/volume&gt;&lt;number&gt;1&lt;/number&gt;&lt;dates&gt;&lt;year&gt;2018&lt;/year&gt;&lt;/dates&gt;&lt;publisher&gt;AAAI Press&lt;/publisher&gt;&lt;label&gt;henderson2018&lt;/label&gt;&lt;urls&gt;&lt;/urls&gt;&lt;electronic-resource-num&gt;10.1609/aaai.v32i1.11694&lt;/electronic-resource-num&gt;&lt;/record&gt;&lt;/Cite&gt;&lt;/EndNote&gt;</w:instrText>
      </w:r>
      <w:r>
        <w:fldChar w:fldCharType="separate"/>
      </w:r>
      <w:r>
        <w:rPr>
          <w:noProof/>
        </w:rPr>
        <w:t>[27]</w:t>
      </w:r>
      <w:r>
        <w:fldChar w:fldCharType="end"/>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lists bounded latency, physics guardrails and reproducibility as open needs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timestamp="1793221649"&gt;57&lt;/key&gt;&lt;/foreign-keys&gt;&lt;ref-type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(https://github.com/lz356/Py-CoSim), in which EnergyPlus can also run a finer internal time step than the exchange step. It is evaluated through verification against standalone EnergyPlus, coupling-error studies on synthetic signals and on an EnergyPlus case, reproducibility and latency experiments with stand-ins for LLM services, an overhead analysis, and a head-to-head comparison with HELICS.</w:t>
      </w:r>
    </w:p>
    <w:p>
      <w:pPr>
        <w:pStyle w:val="BodyText"/>
      </w:pPr>
      <w:r>
        <w:t xml:space="preserve">Section 2 reviews related work. </w:t>
      </w:r>
      <w:r>
        <w:t xml:space="preserve">Section 3</w:t>
      </w:r>
      <w:r>
        <w:t xml:space="preserve"> describes TIDE. </w:t>
      </w:r>
      <w:r>
        <w:t xml:space="preserve">Section 4</w:t>
      </w:r>
      <w:r>
        <w:t xml:space="preserve"> summarizes the implementation. </w:t>
      </w:r>
      <w:r>
        <w:t xml:space="preserve">Section 5</w:t>
      </w:r>
      <w:r>
        <w:t xml:space="preserve"> reports the evaluation. </w:t>
      </w:r>
      <w:r>
        <w:t xml:space="preserve">Section 6</w:t>
      </w:r>
      <w:r>
        <w:t xml:space="preserve"> discusses limitations and </w:t>
      </w:r>
      <w:r>
        <w:t xml:space="preserve">Section 7</w:t>
      </w:r>
      <w:r>
        <w:t xml:space="preserve"> concludes.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fldChar w:fldCharType="begin"/>
      </w:r>
      <w:r>
        <w:instrText xml:space="preserve"> ADDIN EN.CITE &lt;EndNote&gt;&lt;Cite&gt;&lt;Author&gt;Blochwitz&lt;/Author&gt;&lt;Year&gt;2011&lt;/Year&gt;&lt;RecNum&gt;6&lt;/RecNum&gt;&lt;DisplayText&gt;[9]&lt;/DisplayText&gt;&lt;record&gt;&lt;rec-number&gt;6&lt;/rec-number&gt;&lt;foreign-keys&gt;&lt;key app="EN" db-id="mdae8500109496fea4aff9c086e16cc25895" timestamp="1793221649"&gt;6&lt;/key&gt;&lt;/foreign-keys&gt;&lt;ref-type name="Conference Paper"&gt;47&lt;/ref-type&gt;&lt;contributors&gt;&lt;authors&gt;&lt;author&gt;Blochwitz, T.&lt;/author&gt;&lt;author&gt;Otter, M.&lt;/author&gt;&lt;author&gt;Arnold, M.&lt;/author&gt;&lt;author&gt;Bausch, C.&lt;/author&gt;&lt;author&gt;Clauss, C.&lt;/author&gt;&lt;author&gt;Elmqvist, H.&lt;/author&gt;&lt;author&gt;Junghanns, A.&lt;/author&gt;&lt;author&gt;Mauss, J.&lt;/author&gt;&lt;author&gt;Monteiro, M.&lt;/author&gt;&lt;author&gt;Neidhold, T.&lt;/author&gt;&lt;author&gt;Neumerkel, D.&lt;/author&gt;&lt;author&gt;Olsson, H.&lt;/author&gt;&lt;author&gt;Peetz, J.-V.&lt;/author&gt;&lt;author&gt;Wolf, S.&lt;/author&gt;&lt;/authors&gt;&lt;/contributors&gt;&lt;titles&gt;&lt;title&gt;The Functional Mockup Interface for Tool independent Exchange of Simulation Models&lt;/title&gt;&lt;secondary-title&gt;Proceedings of the 8th International Modelica Conference&lt;/secondary-title&gt;&lt;/titles&gt;&lt;pages&gt;105-114&lt;/pages&gt;&lt;volume&gt;63&lt;/volume&gt;&lt;dates&gt;&lt;year&gt;2011&lt;/year&gt;&lt;/dates&gt;&lt;pub-location&gt;Dresden, Germany&lt;/pub-location&gt;&lt;publisher&gt;Linköping University Electronic Press&lt;/publisher&gt;&lt;label&gt;blochwitz2011&lt;/label&gt;&lt;urls&gt;&lt;/urls&gt;&lt;electronic-resource-num&gt;10.3384/ecp11063105&lt;/electronic-resource-num&gt;&lt;/record&gt;&lt;/Cite&gt;&lt;/EndNote&gt;</w:instrText>
      </w:r>
      <w:r>
        <w:fldChar w:fldCharType="separate"/>
      </w:r>
      <w:r>
        <w:rPr>
          <w:noProof/>
        </w:rPr>
        <w:t>[9]</w:t>
      </w:r>
      <w:r>
        <w:fldChar w:fldCharType="end"/>
      </w:r>
      <w:r>
        <w:t xml:space="preserve">. FMI 3.0 adds clocks, an event mode for co-simulation, early return from a step and an intermediate-update mode </w:t>
      </w:r>
      <w:r>
        <w:fldChar w:fldCharType="begin"/>
      </w:r>
      <w:r>
        <w:instrText xml:space="preserve"> ADDIN EN.CITE &lt;EndNote&gt;&lt;Cite&gt;&lt;Author&gt;Junghanns&lt;/Author&gt;&lt;Year&gt;2021&lt;/Year&gt;&lt;RecNum&gt;42&lt;/RecNum&gt;&lt;DisplayText&gt;[10]&lt;/DisplayText&gt;&lt;record&gt;&lt;rec-number&gt;42&lt;/rec-number&gt;&lt;foreign-keys&gt;&lt;key app="EN" db-id="mdae8500109496fea4aff9c086e16cc25895" timestamp="1793221649"&gt;42&lt;/key&gt;&lt;/foreign-keys&gt;&lt;ref-type name="Conference Paper"&gt;47&lt;/ref-type&gt;&lt;contributors&gt;&lt;authors&gt;&lt;author&gt;Junghanns, Andreas&lt;/author&gt;&lt;author&gt;Blochwitz, Torsten&lt;/author&gt;&lt;author&gt;Bertsch, Christian&lt;/author&gt;&lt;author&gt;Sommer, Torsten&lt;/author&gt;&lt;author&gt;Wernersson, Karl&lt;/author&gt;&lt;author&gt;Pillekeit, Andreas&lt;/author&gt;&lt;author&gt;Zacharias, Irina&lt;/author&gt;&lt;author&gt;Blesken, Matthias&lt;/author&gt;&lt;author&gt;Mai, Pierre R.&lt;/author&gt;&lt;author&gt;Schuch, Klaus&lt;/author&gt;&lt;author&gt;Schulze, Christian&lt;/author&gt;&lt;author&gt;Gomes, Cláudio&lt;/author&gt;&lt;author&gt;Najafi, Masoud&lt;/author&gt;&lt;/authors&gt;&lt;/contributors&gt;&lt;titles&gt;&lt;title&gt;The Functional Mock-up Interface 3.0 – New Features Enabling New Applications&lt;/title&gt;&lt;secondary-title&gt;Proceedings of the 14th International Modelica Conference&lt;/secondary-title&gt;&lt;/titles&gt;&lt;pages&gt;17-26&lt;/pages&gt;&lt;volume&gt;181&lt;/volume&gt;&lt;dates&gt;&lt;year&gt;2021&lt;/year&gt;&lt;/dates&gt;&lt;pub-location&gt;Linköping, Sweden&lt;/pub-location&gt;&lt;publisher&gt;Linköping University Electronic Press&lt;/publisher&gt;&lt;label&gt;junghanns2021&lt;/label&gt;&lt;urls&gt;&lt;/urls&gt;&lt;electronic-resource-num&gt;10.3384/ecp2118117&lt;/electronic-resource-num&gt;&lt;/record&gt;&lt;/Cite&gt;&lt;/EndNote&gt;</w:instrText>
      </w:r>
      <w:r>
        <w:fldChar w:fldCharType="separate"/>
      </w:r>
      <w:r>
        <w:rPr>
          <w:noProof/>
        </w:rPr>
        <w:t>[10]</w:t>
      </w:r>
      <w:r>
        <w:fldChar w:fldCharType="end"/>
      </w:r>
      <w:r>
        <w:t xml:space="preserve">. Discrete inputs keep their values between communication points, and outputs are values at the unit’s current time. The System Structure and Parameterization (SSP) standard describes connections between units, including unit conversion </w:t>
      </w:r>
      <w:r>
        <w:fldChar w:fldCharType="begin"/>
      </w:r>
      <w:r>
        <w:instrText xml:space="preserve"> ADDIN EN.CITE &lt;EndNote&gt;&lt;Cite&gt;&lt;Author&gt;Modelica Association&lt;/Author&gt;&lt;Year&gt;2024&lt;/Year&gt;&lt;RecNum&gt;77&lt;/RecNum&gt;&lt;DisplayText&gt;[28]&lt;/DisplayText&gt;&lt;record&gt;&lt;rec-number&gt;77&lt;/rec-number&gt;&lt;foreign-keys&gt;&lt;key app="EN" db-id="mdae8500109496fea4aff9c086e16cc25895" timestamp="1793221649"&gt;77&lt;/key&gt;&lt;/foreign-keys&gt;&lt;ref-type name="Standard"&gt;58&lt;/ref-type&gt;&lt;contributors&gt;&lt;authors&gt;&lt;author&gt;Modelica Association&lt;/author&gt;&lt;/authors&gt;&lt;/contributors&gt;&lt;titles&gt;&lt;title&gt;System Structure and Parameterization (SSP), Version 2.0&lt;/title&gt;&lt;/titles&gt;&lt;dates&gt;&lt;year&gt;2024&lt;/year&gt;&lt;/dates&gt;&lt;label&gt;ssp2_2024&lt;/label&gt;&lt;urls&gt;&lt;related-urls&gt;&lt;url&gt;https://ssp-standard.org/docs/2.0/&lt;/url&gt;&lt;/related-urls&gt;&lt;/urls&gt;&lt;/record&gt;&lt;/Cite&gt;&lt;/EndNote&gt;</w:instrText>
      </w:r>
      <w:r>
        <w:fldChar w:fldCharType="separate"/>
      </w:r>
      <w:r>
        <w:rPr>
          <w:noProof/>
        </w:rPr>
        <w:t>[28]</w:t>
      </w:r>
      <w:r>
        <w:fldChar w:fldCharType="end"/>
      </w:r>
      <w:r>
        <w:t xml:space="preserve">. Neither standard says whether an output is an average or a total over the communication step.</w:t>
      </w:r>
    </w:p>
    <w:p>
      <w:pPr>
        <w:pStyle w:val="BodyText"/>
      </w:pPr>
      <w:r>
        <w:t xml:space="preserve">How the units are stepped is the job of a master algorithm. Kübler and Schiehlen compared Jacobi and Gauss–Seidel coupling and the role of direct feedthrough </w:t>
      </w:r>
      <w:r>
        <w:fldChar w:fldCharType="begin"/>
      </w:r>
      <w:r>
        <w:instrText xml:space="preserve"> ADDIN EN.CITE &lt;EndNote&gt;&lt;Cite&gt;&lt;Author&gt;Kübler&lt;/Author&gt;&lt;Year&gt;2000&lt;/Year&gt;&lt;RecNum&gt;47&lt;/RecNum&gt;&lt;DisplayText&gt;[22]&lt;/DisplayText&gt;&lt;record&gt;&lt;rec-number&gt;47&lt;/rec-number&gt;&lt;foreign-keys&gt;&lt;key app="EN" db-id="mdae8500109496fea4aff9c086e16cc25895" timestamp="1793221649"&gt;47&lt;/key&gt;&lt;/foreign-keys&gt;&lt;ref-type name="Journal Article"&gt;17&lt;/ref-type&gt;&lt;contributors&gt;&lt;authors&gt;&lt;author&gt;Kübler, R.&lt;/author&gt;&lt;author&gt;Schiehlen, W.&lt;/author&gt;&lt;/authors&gt;&lt;/contributors&gt;&lt;titles&gt;&lt;title&gt;Two Methods of Simulator Coupling&lt;/title&gt;&lt;secondary-title&gt;Mathematical and Computer Modelling of Dynamical Systems&lt;/secondary-title&gt;&lt;alt-title&gt;Math. Comput. Model. Dyn. Syst.&lt;/alt-title&gt;&lt;/titles&gt;&lt;periodical&gt;&lt;full-title&gt;Mathematical and Computer Modelling of Dynamical Systems&lt;/full-title&gt;&lt;abbr-1&gt;Math. Comput. Model. Dyn. Syst.&lt;/abbr-1&gt;&lt;/periodical&gt;&lt;pages&gt;93-113&lt;/pages&gt;&lt;volume&gt;6&lt;/volume&gt;&lt;number&gt;2&lt;/number&gt;&lt;dates&gt;&lt;year&gt;2000&lt;/year&gt;&lt;/dates&gt;&lt;publisher&gt;Taylor &amp;amp; Francis&lt;/publisher&gt;&lt;label&gt;kubler2000&lt;/label&gt;&lt;urls&gt;&lt;/urls&gt;&lt;electronic-resource-num&gt;10.1076/1387-3954(200006)6:2;1-M;FT093&lt;/electronic-resource-num&gt;&lt;/record&gt;&lt;/Cite&gt;&lt;/EndNote&gt;</w:instrText>
      </w:r>
      <w:r>
        <w:fldChar w:fldCharType="separate"/>
      </w:r>
      <w:r>
        <w:rPr>
          <w:noProof/>
        </w:rPr>
        <w:t>[22]</w:t>
      </w:r>
      <w:r>
        <w:fldChar w:fldCharType="end"/>
      </w:r>
      <w:r>
        <w:t xml:space="preserve">. Broman et al. stated the conditions under which a master composing FMUs gives determinate results </w:t>
      </w:r>
      <w:r>
        <w:fldChar w:fldCharType="begin"/>
      </w:r>
      <w:r>
        <w:instrText xml:space="preserve"> ADDIN EN.CITE &lt;EndNote&gt;&lt;Cite&gt;&lt;Author&gt;Broman&lt;/Author&gt;&lt;Year&gt;2013&lt;/Year&gt;&lt;RecNum&gt;8&lt;/RecNum&gt;&lt;DisplayText&gt;[29]&lt;/DisplayText&gt;&lt;record&gt;&lt;rec-number&gt;8&lt;/rec-number&gt;&lt;foreign-keys&gt;&lt;key app="EN" db-id="mdae8500109496fea4aff9c086e16cc25895" timestamp="1793221649"&gt;8&lt;/key&gt;&lt;/foreign-keys&gt;&lt;ref-type name="Conference Paper"&gt;47&lt;/ref-type&gt;&lt;contributors&gt;&lt;authors&gt;&lt;author&gt;Broman, David&lt;/author&gt;&lt;author&gt;Brooks, Christopher&lt;/author&gt;&lt;author&gt;Greenberg, Lev&lt;/author&gt;&lt;author&gt;Lee, Edward A.&lt;/author&gt;&lt;author&gt;Masin, Michael&lt;/author&gt;&lt;author&gt;Tripakis, Stavros&lt;/author&gt;&lt;author&gt;Wetter, Michael&lt;/author&gt;&lt;/authors&gt;&lt;/contributors&gt;&lt;titles&gt;&lt;title&gt;Determinate composition of FMUs for co-simulation&lt;/title&gt;&lt;secondary-title&gt;2013 Proceedings of the International Conference on Embedded Software (EMSOFT)&lt;/secondary-title&gt;&lt;/titles&gt;&lt;pages&gt;1-12&lt;/pages&gt;&lt;dates&gt;&lt;year&gt;2013&lt;/year&gt;&lt;/dates&gt;&lt;pub-location&gt;Montreal, QC, Canada&lt;/pub-location&gt;&lt;publisher&gt;IEEE&lt;/publisher&gt;&lt;label&gt;broman2013&lt;/label&gt;&lt;urls&gt;&lt;/urls&gt;&lt;electronic-resource-num&gt;10.1109/EMSOFT.2013.6658580&lt;/electronic-resource-num&gt;&lt;/record&gt;&lt;/Cite&gt;&lt;/EndNote&gt;</w:instrText>
      </w:r>
      <w:r>
        <w:fldChar w:fldCharType="separate"/>
      </w:r>
      <w:r>
        <w:rPr>
          <w:noProof/>
        </w:rPr>
        <w:t>[29]</w:t>
      </w:r>
      <w:r>
        <w:fldChar w:fldCharType="end"/>
      </w:r>
      <w:r>
        <w:t xml:space="preserve">, and Gomes et al. surveyed the field, including how signals are reconstructed between communication points by holding or extrapolating them </w:t>
      </w:r>
      <w:r>
        <w:fldChar w:fldCharType="begin"/>
      </w:r>
      <w:r>
        <w:instrText xml:space="preserve"> ADDIN EN.CITE &lt;EndNote&gt;&lt;Cite&gt;&lt;Author&gt;Gomes&lt;/Author&gt;&lt;Year&gt;2018&lt;/Year&gt;&lt;RecNum&gt;26&lt;/RecNum&gt;&lt;DisplayText&gt;[7]&lt;/DisplayText&gt;&lt;record&gt;&lt;rec-number&gt;26&lt;/rec-number&gt;&lt;foreign-keys&gt;&lt;key app="EN" db-id="mdae8500109496fea4aff9c086e16cc25895" timestamp="1793221649"&gt;26&lt;/key&gt;&lt;/foreign-keys&gt;&lt;ref-type name="Journal Article"&gt;17&lt;/ref-type&gt;&lt;contributors&gt;&lt;authors&gt;&lt;author&gt;Gomes, Cláudio&lt;/author&gt;&lt;author&gt;Thule, Casper&lt;/author&gt;&lt;author&gt;Broman, David&lt;/author&gt;&lt;author&gt;Larsen, Peter Gorm&lt;/author&gt;&lt;author&gt;Vangheluwe, Hans&lt;/author&gt;&lt;/authors&gt;&lt;/contributors&gt;&lt;titles&gt;&lt;title&gt;Co-Simulation: A Survey&lt;/title&gt;&lt;secondary-title&gt;ACM Computing Surveys&lt;/secondary-title&gt;&lt;alt-title&gt;ACM Comput. Surv.&lt;/alt-title&gt;&lt;/titles&gt;&lt;periodical&gt;&lt;full-title&gt;ACM Computing Surveys&lt;/full-title&gt;&lt;abbr-1&gt;ACM Comput. Surv.&lt;/abbr-1&gt;&lt;/periodical&gt;&lt;pages&gt;49&lt;/pages&gt;&lt;volume&gt;51&lt;/volume&gt;&lt;number&gt;3&lt;/number&gt;&lt;dates&gt;&lt;year&gt;2018&lt;/year&gt;&lt;/dates&gt;&lt;publisher&gt;ACM&lt;/publisher&gt;&lt;label&gt;gomes2018&lt;/label&gt;&lt;urls&gt;&lt;/urls&gt;&lt;electronic-resource-num&gt;10.1145/3179993&lt;/electronic-resource-num&gt;&lt;/record&gt;&lt;/Cite&gt;&lt;/EndNote&gt;</w:instrText>
      </w:r>
      <w:r>
        <w:fldChar w:fldCharType="separate"/>
      </w:r>
      <w:r>
        <w:rPr>
          <w:noProof/>
        </w:rPr>
        <w:t>[7]</w:t>
      </w:r>
      <w:r>
        <w:fldChar w:fldCharType="end"/>
      </w:r>
      <w:r>
        <w:t xml:space="preserve">. Energy-residual methods reduce the physical coupling error of explicit co-simulation by feeding back or monitoring the energy that extrapolation loses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NzkzMjIxNjQ5Ij4zPC9rZXk+PC9mb3JlaWduLWtleXM+PHJlZi10eXBlIG5hbWU9IkNvbmZlcmVu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MDEwOTQ5NmZlYTRhZmY5YzA4NmUxNmNjMjU4OTUiIHRpbWVzdGFtcD0iMTc5MzIyMTY0OSI+NzE8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NzkzMjIxNjQ5Ij4zPC9rZXk+PC9mb3JlaWduLWtleXM+PHJlZi10eXBlIG5hbWU9IkNvbmZlcmVu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MDEwOTQ5NmZlYTRhZmY5YzA4NmUxNmNjMjU4OTUiIHRpbWVzdGFtcD0iMTc5MzIyMTY0OSI+NzE8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IjE3OTMyMjE2NDkiPjgxPC9rZXk+PC9mb3JlaWduLWtleXM+PHJlZi10eXBlIG5hbWU9IkNvbmZl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MjIxNjQ5Ij4yNzwva2V5PjwvZm9yZWlnbi1rZXlzPjxyZWYtdHlwZSBuYW1lPSJKb3VybmFsIEFy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IjE3OTMyMjE2NDkiPjgxPC9rZXk+PC9mb3JlaWduLWtleXM+PHJlZi10eXBlIG5hbWU9IkNvbmZl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MjIxNjQ5Ij4yNzwva2V5PjwvZm9yZWlnbi1rZXlzPjxyZWYtdHlwZSBuYW1lPSJKb3VybmFsIEFy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fldChar w:fldCharType="begin"/>
      </w:r>
      <w:r>
        <w:instrText xml:space="preserve"> ADDIN EN.CITE &lt;EndNote&gt;&lt;Cite&gt;&lt;Author&gt;IEEE&lt;/Author&gt;&lt;Year&gt;2010&lt;/Year&gt;&lt;RecNum&gt;38&lt;/RecNum&gt;&lt;DisplayText&gt;[32,33]&lt;/DisplayText&gt;&lt;record&gt;&lt;rec-number&gt;38&lt;/rec-number&gt;&lt;foreign-keys&gt;&lt;key app="EN" db-id="mdae8500109496fea4aff9c086e16cc25895" timestamp="1793221649"&gt;38&lt;/key&gt;&lt;/foreign-keys&gt;&lt;ref-type name="Standard"&gt;58&lt;/ref-type&gt;&lt;contributors&gt;&lt;authors&gt;&lt;author&gt;IEEE&lt;/author&gt;&lt;/authors&gt;&lt;/contributors&gt;&lt;titles&gt;&lt;title&gt;IEEE Standard for Modeling and Simulation (M&amp;amp;S) High Level Architecture (HLA) – Framework and Rules&lt;/title&gt;&lt;secondary-title&gt;IEEE Std 1516-2010&lt;/secondary-title&gt;&lt;/titles&gt;&lt;dates&gt;&lt;year&gt;2010&lt;/year&gt;&lt;/dates&gt;&lt;isbn&gt;978-0-7381-6251-5&lt;/isbn&gt;&lt;label&gt;ieee1516_2010&lt;/label&gt;&lt;urls&gt;&lt;related-urls&gt;&lt;url&gt;https://ieeexplore.ieee.org/document/5553440&lt;/url&gt;&lt;/related-urls&gt;&lt;/urls&gt;&lt;electronic-resource-num&gt;10.1109/IEEESTD.2010.5553440&lt;/electronic-resource-num&gt;&lt;/record&gt;&lt;/Cite&gt;&lt;Cite&gt;&lt;Author&gt;Fujimoto&lt;/Author&gt;&lt;Year&gt;2000&lt;/Year&gt;&lt;RecNum&gt;25&lt;/RecNum&gt;&lt;record&gt;&lt;rec-number&gt;25&lt;/rec-number&gt;&lt;foreign-keys&gt;&lt;key app="EN" db-id="mdae8500109496fea4aff9c086e16cc25895" timestamp="1793221649"&gt;25&lt;/key&gt;&lt;/foreign-keys&gt;&lt;ref-type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Sons&lt;/publisher&gt;&lt;isbn&gt;978-0-471-18383-9&lt;/isbn&gt;&lt;label&gt;fujimoto2000&lt;/label&gt;&lt;urls&gt;&lt;/urls&gt;&lt;/record&gt;&lt;/Cite&gt;&lt;/EndNote&gt;</w:instrText>
      </w:r>
      <w:r>
        <w:fldChar w:fldCharType="separate"/>
      </w:r>
      <w:r>
        <w:rPr>
          <w:noProof/>
        </w:rPr>
        <w:t>[32,33]</w:t>
      </w:r>
      <w:r>
        <w:fldChar w:fldCharType="end"/>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dGFtcD0iMTc5MzIyMTY0OSI+Njg8L2tleT48L2ZvcmVpZ24ta2V5cz48cmVmLXR5cGUgbmFtZT0i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NzkzMjIxNjQ5Ij4yOTwva2V5PjwvZm9yZWlnbi1rZXlzPjxyZWYtdHlwZSBuYW1lPSJKb3VybmFs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MjE2NDkiPjMxPC9rZXk+PC9mb3JlaWduLWtleXM+PHJlZi10eXBlIG5hbWU9IldlYiBQYWdlIj4x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 </w:instrTex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dGFtcD0iMTc5MzIyMTY0OSI+Njg8L2tleT48L2ZvcmVpZ24ta2V5cz48cmVmLXR5cGUgbmFtZT0i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NzkzMjIxNjQ5Ij4yOTwva2V5PjwvZm9yZWlnbi1rZXlzPjxyZWYtdHlwZSBuYW1lPSJKb3VybmFs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MjE2NDkiPjMxPC9rZXk+PC9mb3JlaWduLWtleXM+PHJlZi10eXBlIG5hbWU9IldlYiBQYWdlIj4x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EN.CITE.DATA </w:instrText>
      </w:r>
      <w:r>
        <w:fldChar w:fldCharType="end"/>
      </w:r>
      <w:r>
        <w:fldChar w:fldCharType="separate"/>
      </w:r>
      <w:r>
        <w:rPr>
          <w:noProof/>
        </w:rPr>
        <w:t>[17,18,34]</w:t>
      </w:r>
      <w:r>
        <w:fldChar w:fldCharType="end"/>
      </w:r>
      <w:r>
        <w:t xml:space="preserve">. mosaik 3 combines time-stepped and event-based simulators and supports time-shifted connections </w:t>
      </w:r>
      <w:r>
        <w:fldChar w:fldCharType="begin"/>
      </w:r>
      <w:r>
        <w:instrText xml:space="preserve"> ADDIN EN.CITE &lt;EndNote&gt;&lt;Cite&gt;&lt;Author&gt;Ofenloch&lt;/Author&gt;&lt;Year&gt;2022&lt;/Year&gt;&lt;RecNum&gt;62&lt;/RecNum&gt;&lt;DisplayText&gt;[20,35]&lt;/DisplayText&gt;&lt;record&gt;&lt;rec-number&gt;62&lt;/rec-number&gt;&lt;foreign-keys&gt;&lt;key app="EN" db-id="mdae8500109496fea4aff9c086e16cc25895" timestamp="1793221649"&gt;62&lt;/key&gt;&lt;/foreign-keys&gt;&lt;ref-type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Cite&gt;&lt;Author&gt;OFFIS&lt;/Author&gt;&lt;Year&gt;2025&lt;/Year&gt;&lt;RecNum&gt;56&lt;/RecNum&gt;&lt;record&gt;&lt;rec-number&gt;56&lt;/rec-number&gt;&lt;foreign-keys&gt;&lt;key app="EN" db-id="mdae8500109496fea4aff9c086e16cc25895" timestamp="1793221649"&gt;56&lt;/key&gt;&lt;/foreign-keys&gt;&lt;ref-type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[20,35]</w:t>
      </w:r>
      <w:r>
        <w:fldChar w:fldCharType="end"/>
      </w:r>
      <w:r>
        <w:t xml:space="preserve">. Publish/subscribe middleware has also been used for power-system co-simulation </w: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MjIxNjQ5Ij44NDwva2V5PjwvZm9yZWlnbi1rZXlzPjxyZWYtdHlwZSBuYW1lPSJKb3VybmFsIEFy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ZTE2Y2MyNTg5NSIgdGltZXN0YW1wPSIxNzkzMjIxNjQ5Ij42Nzwva2V5PjwvZm9yZWlnbi1rZXlz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 </w:instrTex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MjIxNjQ5Ij44NDwva2V5PjwvZm9yZWlnbi1rZXlzPjxyZWYtdHlwZSBuYW1lPSJKb3VybmFsIEFy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ZTE2Y2MyNTg5NSIgdGltZXN0YW1wPSIxNzkzMjIxNjQ5Ij42Nzwva2V5PjwvZm9yZWlnbi1rZXlz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EN.CITE.DATA </w:instrText>
      </w:r>
      <w:r>
        <w:fldChar w:fldCharType="end"/>
      </w:r>
      <w:r>
        <w:fldChar w:fldCharType="separate"/>
      </w:r>
      <w:r>
        <w:rPr>
          <w:noProof/>
        </w:rPr>
        <w:t>[36,37]</w:t>
      </w:r>
      <w:r>
        <w:fldChar w:fldCharType="end"/>
      </w:r>
      <w:r>
        <w:t xml:space="preserve">, and VOLTTRON organizes building devices in a topic tree </w:t>
      </w:r>
      <w:r>
        <w:fldChar w:fldCharType="begin"/>
      </w:r>
      <w:r>
        <w:instrText xml:space="preserve"> ADDIN EN.CITE &lt;EndNote&gt;&lt;Cite&gt;&lt;Author&gt;Katipamula&lt;/Author&gt;&lt;Year&gt;2016&lt;/Year&gt;&lt;RecNum&gt;44&lt;/RecNum&gt;&lt;DisplayText&gt;[38]&lt;/DisplayText&gt;&lt;record&gt;&lt;rec-number&gt;44&lt;/rec-number&gt;&lt;foreign-keys&gt;&lt;key app="EN" db-id="mdae8500109496fea4aff9c086e16cc25895" timestamp="1793221649"&gt;44&lt;/key&gt;&lt;/foreign-keys&gt;&lt;ref-type name="Journal Article"&gt;17&lt;/ref-type&gt;&lt;contributors&gt;&lt;authors&gt;&lt;author&gt;Katipamula, Srinivas&lt;/author&gt;&lt;author&gt;Haack, Jereme&lt;/author&gt;&lt;author&gt;Hernandez, George&lt;/author&gt;&lt;author&gt;Akyol, Bora&lt;/author&gt;&lt;author&gt;Hagerman, Joseph&lt;/author&gt;&lt;/authors&gt;&lt;/contributors&gt;&lt;titles&gt;&lt;title&gt;VOLTTRON: An Open-Source Software Platform of the Future&lt;/title&gt;&lt;secondary-title&gt;IEEE Electrification Magazine&lt;/secondary-title&gt;&lt;alt-title&gt;IEEE Electrif. Mag.&lt;/alt-title&gt;&lt;/titles&gt;&lt;periodical&gt;&lt;full-title&gt;IEEE Electrification Magazine&lt;/full-title&gt;&lt;abbr-1&gt;IEEE Electrif. Mag.&lt;/abbr-1&gt;&lt;/periodical&gt;&lt;pages&gt;15-22&lt;/pages&gt;&lt;volume&gt;4&lt;/volume&gt;&lt;number&gt;4&lt;/number&gt;&lt;dates&gt;&lt;year&gt;2016&lt;/year&gt;&lt;/dates&gt;&lt;publisher&gt;IEEE&lt;/publisher&gt;&lt;label&gt;katipamula2016&lt;/label&gt;&lt;urls&gt;&lt;/urls&gt;&lt;electronic-resource-num&gt;10.1109/MELE.2016.2614178&lt;/electronic-resource-num&gt;&lt;/record&gt;&lt;/Cite&gt;&lt;/EndNote&gt;</w:instrText>
      </w:r>
      <w:r>
        <w:fldChar w:fldCharType="separate"/>
      </w:r>
      <w:r>
        <w:rPr>
          <w:noProof/>
        </w:rPr>
        <w:t>[38]</w:t>
      </w:r>
      <w:r>
        <w:fldChar w:fldCharType="end"/>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fldChar w:fldCharType="begin"/>
      </w:r>
      <w:r>
        <w:instrText xml:space="preserve"> ADDIN EN.CITE &lt;EndNote&gt;&lt;Cite&gt;&lt;Author&gt;HELICS developers (GMLC-TDC)&lt;/Author&gt;&lt;Year&gt;2026&lt;/Year&gt;&lt;RecNum&gt;31&lt;/RecNum&gt;&lt;DisplayText&gt;[34,35]&lt;/DisplayText&gt;&lt;record&gt;&lt;rec-number&gt;31&lt;/rec-number&gt;&lt;foreign-keys&gt;&lt;key app="EN" db-id="mdae8500109496fea4aff9c086e16cc25895" timestamp="1793221649"&gt;31&lt;/key&gt;&lt;/foreign-keys&gt;&lt;ref-type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Cite&gt;&lt;Author&gt;OFFIS&lt;/Author&gt;&lt;Year&gt;2025&lt;/Year&gt;&lt;RecNum&gt;56&lt;/RecNum&gt;&lt;record&gt;&lt;rec-number&gt;56&lt;/rec-number&gt;&lt;foreign-keys&gt;&lt;key app="EN" db-id="mdae8500109496fea4aff9c086e16cc25895" timestamp="1793221649"&gt;56&lt;/key&gt;&lt;/foreign-keys&gt;&lt;ref-type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[34,35]</w:t>
      </w:r>
      <w:r>
        <w:fldChar w:fldCharType="end"/>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fldChar w:fldCharType="begin"/>
      </w:r>
      <w:r>
        <w:instrText xml:space="preserve"> ADDIN EN.CITE &lt;EndNote&gt;&lt;Cite&gt;&lt;Author&gt;Wetter&lt;/Author&gt;&lt;Year&gt;2011&lt;/Year&gt;&lt;RecNum&gt;85&lt;/RecNum&gt;&lt;DisplayText&gt;[11,39]&lt;/DisplayText&gt;&lt;record&gt;&lt;rec-number&gt;85&lt;/rec-number&gt;&lt;foreign-keys&gt;&lt;key app="EN" db-id="mdae8500109496fea4aff9c086e16cc25895" timestamp="1793221649"&gt;85&lt;/key&gt;&lt;/foreign-keys&gt;&lt;ref-type name="Journal Article"&gt;17&lt;/ref-type&gt;&lt;contributors&gt;&lt;authors&gt;&lt;author&gt;Wetter, Michael&lt;/author&gt;&lt;/authors&gt;&lt;/contributors&gt;&lt;titles&gt;&lt;title&gt;Co-simulation of building energy and control systems with the Building Controls Virtual Test Bed&lt;/title&gt;&lt;secondary-title&gt;Journal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Simul.&lt;/abbr-1&gt;&lt;/periodical&gt;&lt;pages&gt;185-203&lt;/pages&gt;&lt;volume&gt;4&lt;/volume&gt;&lt;number&gt;3&lt;/number&gt;&lt;dates&gt;&lt;year&gt;2011&lt;/year&gt;&lt;/dates&gt;&lt;publisher&gt;Taylor &amp;amp; Francis&lt;/publisher&gt;&lt;label&gt;wetter2011&lt;/label&gt;&lt;urls&gt;&lt;/urls&gt;&lt;electronic-resource-num&gt;10.1080/19401493.2010.518631&lt;/electronic-resource-num&gt;&lt;/record&gt;&lt;/Cite&gt;&lt;Cite&gt;&lt;Author&gt;U.S. Department of Energy&lt;/Author&gt;&lt;Year&gt;2018&lt;/Year&gt;&lt;RecNum&gt;18&lt;/RecNum&gt;&lt;record&gt;&lt;rec-number&gt;18&lt;/rec-number&gt;&lt;foreign-keys&gt;&lt;key app="EN" db-id="mdae8500109496fea4aff9c086e16cc25895" timestamp="1793221649"&gt;18&lt;/key&gt;&lt;/foreign-keys&gt;&lt;ref-type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EndNote&gt;</w:instrText>
      </w:r>
      <w:r>
        <w:fldChar w:fldCharType="separate"/>
      </w:r>
      <w:r>
        <w:rPr>
          <w:noProof/>
        </w:rPr>
        <w:t>[11,39]</w:t>
      </w:r>
      <w:r>
        <w:fldChar w:fldCharType="end"/>
      </w:r>
      <w:r>
        <w:t xml:space="preserve">, and EnergyPlus FMU export requires the EnergyPlus time steps per hour to match the FMU sampling time </w: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MTc5MzIyMTY0OSI+NTk8L2tleT48L2ZvcmVpZ24ta2V5cz48cmVmLXR5cGUgbmFtZT0iSm91cm5h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YWZmOWMwODZlMTZjYzI1ODk1IiB0aW1lc3RhbXA9IjE3OTMyMjE2NDkiPjQ4PC9rZXk+PC9mb3Jl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 </w:instrTex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MTc5MzIyMTY0OSI+NTk8L2tleT48L2ZvcmVpZ24ta2V5cz48cmVmLXR5cGUgbmFtZT0iSm91cm5h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YWZmOWMwODZlMTZjYzI1ODk1IiB0aW1lc3RhbXA9IjE3OTMyMjE2NDkiPjQ4PC9rZXk+PC9mb3Jl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EN.CITE.DATA </w:instrText>
      </w:r>
      <w:r>
        <w:fldChar w:fldCharType="end"/>
      </w:r>
      <w:r>
        <w:fldChar w:fldCharType="separate"/>
      </w:r>
      <w:r>
        <w:rPr>
          <w:noProof/>
        </w:rPr>
        <w:t>[12,40]</w:t>
      </w:r>
      <w:r>
        <w:fldChar w:fldCharType="end"/>
      </w:r>
      <w:r>
        <w:t xml:space="preserve">. Spawn of EnergyPlus couples Modelica HVAC and controls with EnergyPlus envelope models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timestamp="1793221649"&gt;86&lt;/key&gt;&lt;/foreign-keys&gt;&lt;ref-type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Recent EnergyPlus versions offer Python interfaces, including an API through which a Python program drives EnergyPlus from callbacks </w:t>
      </w:r>
      <w:r>
        <w:fldChar w:fldCharType="begin"/>
      </w:r>
      <w:r>
        <w:instrText xml:space="preserve"> ADDIN EN.CITE &lt;EndNote&gt;&lt;Cite&gt;&lt;Author&gt;U.S. Department of Energy&lt;/Author&gt;&lt;Year&gt;2022&lt;/Year&gt;&lt;RecNum&gt;19&lt;/RecNum&gt;&lt;DisplayText&gt;[41]&lt;/DisplayText&gt;&lt;record&gt;&lt;rec-number&gt;19&lt;/rec-number&gt;&lt;foreign-keys&gt;&lt;key app="EN" db-id="mdae8500109496fea4aff9c086e16cc25895" timestamp="1793221649"&gt;19&lt;/key&gt;&lt;/foreign-keys&gt;&lt;ref-type name="Web Page"&gt;12&lt;/ref-type&gt;&lt;contributors&gt;&lt;authors&gt;&lt;author&gt;U.S. Department of Energy&lt;/author&gt;&lt;/authors&gt;&lt;/contributors&gt;&lt;titles&gt;&lt;title&gt;EnergyPlus Input Output Reference: Group – Python Plugins / Python EMS&lt;/title&gt;&lt;/titles&gt;&lt;dates&gt;&lt;year&gt;2022&lt;/year&gt;&lt;/dates&gt;&lt;label&gt;doe2022&lt;/label&gt;&lt;urls&gt;&lt;related-urls&gt;&lt;url&gt;https://bigladdersoftware.com/epx/docs/22-2/input-output-reference/group-python-plugins.html&lt;/url&gt;&lt;/related-urls&gt;&lt;/urls&gt;&lt;access-date&gt;2026-10-28&lt;/access-date&gt;&lt;/record&gt;&lt;/Cite&gt;&lt;/EndNote&gt;</w:instrText>
      </w:r>
      <w:r>
        <w:fldChar w:fldCharType="separate"/>
      </w:r>
      <w:r>
        <w:rPr>
          <w:noProof/>
        </w:rPr>
        <w:t>[41]</w:t>
      </w:r>
      <w:r>
        <w:fldChar w:fldCharType="end"/>
      </w:r>
      <w:r>
        <w:t xml:space="preserve">; Sinergym and COBS build on them for control research </w: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dGltZXN0YW1wPSIxNzkzMjIxNjQ5Ij40MTwva2V5PjwvZm9yZWlnbi1rZXlzPjxyZWYtdHlwZSBu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OTMyMjE2NDkiPjk8L2tleT48L2ZvcmVpZ24ta2V5cz48cmVmLXR5cGUgbmFtZT0iSm91cm5hbCBB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MDg2ZTE2Y2MyNTg5NSIgdGltZXN0YW1wPSIxNzkzMjIxNjQ5Ij45MDwva2V5PjwvZm9yZWlnbi1r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 </w:instrTex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dGltZXN0YW1wPSIxNzkzMjIxNjQ5Ij40MTwva2V5PjwvZm9yZWlnbi1rZXlzPjxyZWYtdHlwZSBu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OTMyMjE2NDkiPjk8L2tleT48L2ZvcmVpZ24ta2V5cz48cmVmLXR5cGUgbmFtZT0iSm91cm5hbCBB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MDg2ZTE2Y2MyNTg5NSIgdGltZXN0YW1wPSIxNzkzMjIxNjQ5Ij45MDwva2V5PjwvZm9yZWlnbi1r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EN.CITE.DATA </w:instrText>
      </w:r>
      <w:r>
        <w:fldChar w:fldCharType="end"/>
      </w:r>
      <w:r>
        <w:fldChar w:fldCharType="separate"/>
      </w:r>
      <w:r>
        <w:rPr>
          <w:noProof/>
        </w:rPr>
        <w:t>[14,15,42]</w:t>
      </w:r>
      <w:r>
        <w:fldChar w:fldCharType="end"/>
      </w:r>
      <w:r>
        <w:t xml:space="preserve">, while Energym wraps EnergyPlus and Modelica models as FMUs </w:t>
      </w:r>
      <w:r>
        <w:fldChar w:fldCharType="begin"/>
      </w:r>
      <w:r>
        <w:instrText xml:space="preserve"> ADDIN EN.CITE &lt;EndNote&gt;&lt;Cite&gt;&lt;Author&gt;Scharnhorst&lt;/Author&gt;&lt;Year&gt;2021&lt;/Year&gt;&lt;RecNum&gt;75&lt;/RecNum&gt;&lt;DisplayText&gt;[43]&lt;/DisplayText&gt;&lt;record&gt;&lt;rec-number&gt;75&lt;/rec-number&gt;&lt;foreign-keys&gt;&lt;key app="EN" db-id="mdae8500109496fea4aff9c086e16cc25895" timestamp="1793221649"&gt;75&lt;/key&gt;&lt;/foreign-keys&gt;&lt;ref-type name="Journal Article"&gt;17&lt;/ref-type&gt;&lt;contributors&gt;&lt;authors&gt;&lt;author&gt;Scharnhorst, Paul&lt;/author&gt;&lt;author&gt;Schubnel, Baptiste&lt;/author&gt;&lt;author&gt;Fernández Bandera, Carlos&lt;/author&gt;&lt;author&gt;Salom, Jaume&lt;/author&gt;&lt;author&gt;Taddeo, Paolo&lt;/author&gt;&lt;author&gt;Boegli, Max&lt;/author&gt;&lt;author&gt;Gorecki, Tomasz&lt;/author&gt;&lt;author&gt;Stauffer, Yves&lt;/author&gt;&lt;author&gt;Peppas, Antonis&lt;/author&gt;&lt;author&gt;Politi, Chrysa&lt;/author&gt;&lt;/authors&gt;&lt;/contributors&gt;&lt;titles&gt;&lt;title&gt;Energym: A Building Model Library for Controller Benchmarking&lt;/title&gt;&lt;secondary-title&gt;Applied Sciences&lt;/secondary-title&gt;&lt;alt-title&gt;Appl. Sci.&lt;/alt-title&gt;&lt;/titles&gt;&lt;periodical&gt;&lt;full-title&gt;Applied Sciences&lt;/full-title&gt;&lt;abbr-1&gt;Appl. Sci.&lt;/abbr-1&gt;&lt;/periodical&gt;&lt;pages&gt;3518&lt;/pages&gt;&lt;volume&gt;11&lt;/volume&gt;&lt;number&gt;8&lt;/number&gt;&lt;dates&gt;&lt;year&gt;2021&lt;/year&gt;&lt;/dates&gt;&lt;publisher&gt;MDPI&lt;/publisher&gt;&lt;label&gt;scharnhorst2021&lt;/label&gt;&lt;urls&gt;&lt;/urls&gt;&lt;electronic-resource-num&gt;10.3390/app11083518&lt;/electronic-resource-num&gt;&lt;/record&gt;&lt;/Cite&gt;&lt;/EndNote&gt;</w:instrText>
      </w:r>
      <w:r>
        <w:fldChar w:fldCharType="separate"/>
      </w:r>
      <w:r>
        <w:rPr>
          <w:noProof/>
        </w:rPr>
        <w:t>[43]</w:t>
      </w:r>
      <w:r>
        <w:fldChar w:fldCharType="end"/>
      </w:r>
      <w:r>
        <w:t xml:space="preserve">. BOPTEST exposes test cases through a web API </w:t>
      </w:r>
      <w:r>
        <w:fldChar w:fldCharType="begin"/>
      </w:r>
      <w:r>
        <w:instrText xml:space="preserve"> ADDIN EN.CITE &lt;EndNote&gt;&lt;Cite&gt;&lt;Author&gt;Blum&lt;/Author&gt;&lt;Year&gt;2021&lt;/Year&gt;&lt;RecNum&gt;7&lt;/RecNum&gt;&lt;DisplayText&gt;[16]&lt;/DisplayText&gt;&lt;record&gt;&lt;rec-number&gt;7&lt;/rec-number&gt;&lt;foreign-keys&gt;&lt;key app="EN" db-id="mdae8500109496fea4aff9c086e16cc25895" timestamp="1793221649"&gt;7&lt;/key&gt;&lt;/foreign-keys&gt;&lt;ref-type name="Journal Article"&gt;17&lt;/ref-type&gt;&lt;contributors&gt;&lt;authors&gt;&lt;author&gt;Blum, David&lt;/author&gt;&lt;author&gt;Arroyo, Javier&lt;/author&gt;&lt;author&gt;Huang, Sen&lt;/author&gt;&lt;author&gt;Drgoňa, Ján&lt;/author&gt;&lt;author&gt;Jorissen, Filip&lt;/author&gt;&lt;author&gt;Walnum, Harald Taxt&lt;/author&gt;&lt;author&gt;Chen, Yan&lt;/author&gt;&lt;author&gt;Benne, Kyle&lt;/author&gt;&lt;author&gt;Vrabie, Draguna&lt;/author&gt;&lt;author&gt;Wetter, Michael&lt;/author&gt;&lt;author&gt;Helsen, Lieve&lt;/author&gt;&lt;/authors&gt;&lt;/contributors&gt;&lt;titles&gt;&lt;title&gt;Building optimization testing framework (BOPTEST) for simulation-based benchmarking of control strategies in buildings&lt;/title&gt;&lt;secondary-title&gt;Journal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Simul.&lt;/abbr-1&gt;&lt;/periodical&gt;&lt;pages&gt;586-610&lt;/pages&gt;&lt;volume&gt;14&lt;/volume&gt;&lt;number&gt;5&lt;/number&gt;&lt;dates&gt;&lt;year&gt;2021&lt;/year&gt;&lt;/dates&gt;&lt;publisher&gt;Taylor &amp;amp; Francis&lt;/publisher&gt;&lt;label&gt;blum2021&lt;/label&gt;&lt;urls&gt;&lt;/urls&gt;&lt;electronic-resource-num&gt;10.1080/19401493.2021.1986574&lt;/electronic-resource-num&gt;&lt;/record&gt;&lt;/Cite&gt;&lt;/EndNote&gt;</w:instrText>
      </w:r>
      <w:r>
        <w:fldChar w:fldCharType="separate"/>
      </w:r>
      <w:r>
        <w:rPr>
          <w:noProof/>
        </w:rPr>
        <w:t>[16]</w:t>
      </w:r>
      <w:r>
        <w:fldChar w:fldCharType="end"/>
      </w:r>
      <w:r>
        <w:t xml:space="preserve">, CityLearn targets district demand response </w:t>
      </w:r>
      <w:r>
        <w:fldChar w:fldCharType="begin"/>
      </w:r>
      <w:r>
        <w:instrText xml:space="preserve"> ADDIN EN.CITE &lt;EndNote&gt;&lt;Cite&gt;&lt;Author&gt;Nweye&lt;/Author&gt;&lt;Year&gt;2025&lt;/Year&gt;&lt;RecNum&gt;60&lt;/RecNum&gt;&lt;DisplayText&gt;[44]&lt;/DisplayText&gt;&lt;record&gt;&lt;rec-number&gt;60&lt;/rec-number&gt;&lt;foreign-keys&gt;&lt;key app="EN" db-id="mdae8500109496fea4aff9c086e16cc25895" timestamp="1793221649"&gt;60&lt;/key&gt;&lt;/foreign-keys&gt;&lt;ref-type name="Journal Article"&gt;17&lt;/ref-type&gt;&lt;contributors&gt;&lt;authors&gt;&lt;author&gt;Nweye, Kingsley&lt;/author&gt;&lt;author&gt;Kaspar, Kathryn&lt;/author&gt;&lt;author&gt;Buscemi, Giacomo&lt;/author&gt;&lt;author&gt;Fonseca, Tiago&lt;/author&gt;&lt;author&gt;Pinto, Giuseppe&lt;/author&gt;&lt;author&gt;Ghose, Dipanjan&lt;/author&gt;&lt;author&gt;Duddukuru, Satvik&lt;/author&gt;&lt;author&gt;Pratapa, Pavani&lt;/author&gt;&lt;author&gt;Li, Han&lt;/author&gt;&lt;author&gt;Mohammadi, Javad&lt;/author&gt;&lt;author&gt;Lino Ferreira, Luis&lt;/author&gt;&lt;author&gt;Hong, Tianzhen&lt;/author&gt;&lt;author&gt;Ouf, Mohamed&lt;/author&gt;&lt;author&gt;Capozzoli, Alfonso&lt;/author&gt;&lt;author&gt;Nagy, Zoltan&lt;/author&gt;&lt;/authors&gt;&lt;/contributors&gt;&lt;titles&gt;&lt;title&gt;CityLearn v2: energy-flexible, resilient, occupant-centric, and carbon-aware management of grid-interactive communities&lt;/title&gt;&lt;secondary-title&gt;Journal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Simul.&lt;/abbr-1&gt;&lt;/periodical&gt;&lt;pages&gt;17-38&lt;/pages&gt;&lt;volume&gt;18&lt;/volume&gt;&lt;number&gt;1&lt;/number&gt;&lt;dates&gt;&lt;year&gt;2025&lt;/year&gt;&lt;/dates&gt;&lt;publisher&gt;Taylor &amp;amp; Francis&lt;/publisher&gt;&lt;label&gt;nweye2025&lt;/label&gt;&lt;urls&gt;&lt;/urls&gt;&lt;electronic-resource-num&gt;10.1080/19401493.2024.2418813&lt;/electronic-resource-num&gt;&lt;/record&gt;&lt;/Cite&gt;&lt;/EndNote&gt;</w:instrText>
      </w:r>
      <w:r>
        <w:fldChar w:fldCharType="separate"/>
      </w:r>
      <w:r>
        <w:rPr>
          <w:noProof/>
        </w:rPr>
        <w:t>[44]</w:t>
      </w:r>
      <w:r>
        <w:fldChar w:fldCharType="end"/>
      </w:r>
      <w:r>
        <w:t xml:space="preserve">, and Alfalfa runs building models as a service that controllers read and write at run time </w:t>
      </w:r>
      <w:r>
        <w:fldChar w:fldCharType="begin"/>
      </w:r>
      <w:r>
        <w:instrText xml:space="preserve"> ADDIN EN.CITE &lt;EndNote&gt;&lt;Cite&gt;&lt;Author&gt;Benne&lt;/Author&gt;&lt;Year&gt;2024&lt;/Year&gt;&lt;RecNum&gt;4&lt;/RecNum&gt;&lt;DisplayText&gt;[45]&lt;/DisplayText&gt;&lt;record&gt;&lt;rec-number&gt;4&lt;/rec-number&gt;&lt;foreign-keys&gt;&lt;key app="EN" db-id="mdae8500109496fea4aff9c086e16cc25895" timestamp="1793221649"&gt;4&lt;/key&gt;&lt;/foreign-keys&gt;&lt;ref-type name="Report"&gt;27&lt;/ref-type&gt;&lt;contributors&gt;&lt;authors&gt;&lt;author&gt;Benne, Kyle&lt;/author&gt;&lt;author&gt;Shapinsky, Tobias&lt;/author&gt;&lt;author&gt;Petersen, Anya&lt;/author&gt;&lt;/authors&gt;&lt;/contributors&gt;&lt;titles&gt;&lt;title&gt;Alfalfa Virtual Building Service: Software Engineering Best Practices Applied to Runtime Interaction with Building Energy Models&lt;/title&gt;&lt;secondary-title&gt;IBPSA-USA SimBuild 2024 Conference, Denver, Colorado, 21–23 May 2024&lt;/secondary-title&gt;&lt;/titles&gt;&lt;dates&gt;&lt;year&gt;2024&lt;/year&gt;&lt;/dates&gt;&lt;pub-location&gt;Golden, CO&lt;/pub-location&gt;&lt;publisher&gt;National Renewable Energy Laboratory&lt;/publisher&gt;&lt;isbn&gt;NREL/PR-5500-89738&lt;/isbn&gt;&lt;label&gt;benne2024&lt;/label&gt;&lt;work-type&gt;Presentation&lt;/work-type&gt;&lt;urls&gt;&lt;related-urls&gt;&lt;url&gt;https://www.osti.gov/biblio/2407013&lt;/url&gt;&lt;/related-urls&gt;&lt;/urls&gt;&lt;/record&gt;&lt;/Cite&gt;&lt;/EndNote&gt;</w:instrText>
      </w:r>
      <w:r>
        <w:fldChar w:fldCharType="separate"/>
      </w:r>
      <w:r>
        <w:rPr>
          <w:noProof/>
        </w:rPr>
        <w:t>[45]</w:t>
      </w:r>
      <w:r>
        <w:fldChar w:fldCharType="end"/>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fldChar w:fldCharType="begin"/>
      </w:r>
      <w:r>
        <w:instrText xml:space="preserve"> ADDIN EN.CITE &lt;EndNote&gt;&lt;Cite&gt;&lt;Author&gt;Ahn&lt;/Author&gt;&lt;Year&gt;2023&lt;/Year&gt;&lt;RecNum&gt;1&lt;/RecNum&gt;&lt;DisplayText&gt;[4]&lt;/DisplayText&gt;&lt;record&gt;&lt;rec-number&gt;1&lt;/rec-number&gt;&lt;foreign-keys&gt;&lt;key app="EN" db-id="mdae8500109496fea4aff9c086e16cc25895" timestamp="1793221649"&gt;1&lt;/key&gt;&lt;/foreign-keys&gt;&lt;ref-type name="Journal Article"&gt;17&lt;/ref-type&gt;&lt;contributors&gt;&lt;authors&gt;&lt;author&gt;Ahn, Ki Uhn&lt;/author&gt;&lt;author&gt;Kim, Deuk-Woo&lt;/author&gt;&lt;author&gt;Cho, Hyun Mi&lt;/author&gt;&lt;author&gt;Chae, Chang-U&lt;/author&gt;&lt;/authors&gt;&lt;/contributors&gt;&lt;titles&gt;&lt;title&gt;Alternative Approaches to HVAC Control of Chat Generative Pre-Trained Transformer (ChatGPT) for Autonomous Building System Operations&lt;/title&gt;&lt;secondary-title&gt;Buildings&lt;/secondary-title&gt;&lt;alt-title&gt;Buildings&lt;/alt-title&gt;&lt;/titles&gt;&lt;periodical&gt;&lt;full-title&gt;Buildings&lt;/full-title&gt;&lt;abbr-1&gt;Buildings&lt;/abbr-1&gt;&lt;/periodical&gt;&lt;pages&gt;2680&lt;/pages&gt;&lt;volume&gt;13&lt;/volume&gt;&lt;number&gt;11&lt;/number&gt;&lt;dates&gt;&lt;year&gt;2023&lt;/year&gt;&lt;/dates&gt;&lt;publisher&gt;MDPI&lt;/publisher&gt;&lt;label&gt;ahn2023&lt;/label&gt;&lt;urls&gt;&lt;/urls&gt;&lt;electronic-resource-num&gt;10.3390/buildings13112680&lt;/electronic-resource-num&gt;&lt;/record&gt;&lt;/Cite&gt;&lt;/EndNote&gt;</w:instrText>
      </w:r>
      <w:r>
        <w:fldChar w:fldCharType="separate"/>
      </w:r>
      <w:r>
        <w:rPr>
          <w:noProof/>
        </w:rPr>
        <w:t>[4]</w:t>
      </w:r>
      <w:r>
        <w:fldChar w:fldCharType="end"/>
      </w:r>
      <w:r>
        <w:t xml:space="preserve">, to explain and support ML-based control </w:t>
      </w:r>
      <w:r>
        <w:fldChar w:fldCharType="begin"/>
      </w:r>
      <w:r>
        <w:instrText xml:space="preserve"> ADDIN EN.CITE &lt;EndNote&gt;&lt;Cite&gt;&lt;Author&gt;Zhang&lt;/Author&gt;&lt;Year&gt;2024&lt;/Year&gt;&lt;RecNum&gt;94&lt;/RecNum&gt;&lt;DisplayText&gt;[5]&lt;/DisplayText&gt;&lt;record&gt;&lt;rec-number&gt;94&lt;/rec-number&gt;&lt;foreign-keys&gt;&lt;key app="EN" db-id="mdae8500109496fea4aff9c086e16cc25895" timestamp="1793221649"&gt;94&lt;/key&gt;&lt;/foreign-keys&gt;&lt;ref-type name="Journal Article"&gt;17&lt;/ref-type&gt;&lt;contributors&gt;&lt;authors&gt;&lt;author&gt;Zhang, Liang&lt;/author&gt;&lt;author&gt;Chen, Zhelun&lt;/author&gt;&lt;/authors&gt;&lt;/contributors&gt;&lt;titles&gt;&lt;title&gt;Large language model-based interpretable machine learning control in building energy systems&lt;/title&gt;&lt;secondary-title&gt;Energy and Buildings&lt;/secondary-title&gt;&lt;alt-title&gt;Energy Build.&lt;/alt-title&gt;&lt;/titles&gt;&lt;periodical&gt;&lt;full-title&gt;Energy and Buildings&lt;/full-title&gt;&lt;abbr-1&gt;Energy Build.&lt;/abbr-1&gt;&lt;/periodical&gt;&lt;pages&gt;114278&lt;/pages&gt;&lt;volume&gt;313&lt;/volume&gt;&lt;dates&gt;&lt;year&gt;2024&lt;/year&gt;&lt;/dates&gt;&lt;publisher&gt;Elsevier&lt;/publisher&gt;&lt;label&gt;zhangchen2024&lt;/label&gt;&lt;urls&gt;&lt;/urls&gt;&lt;electronic-resource-num&gt;10.1016/j.enbuild.2024.114278&lt;/electronic-resource-num&gt;&lt;/record&gt;&lt;/Cite&gt;&lt;/EndNote&gt;</w:instrText>
      </w:r>
      <w:r>
        <w:fldChar w:fldCharType="separate"/>
      </w:r>
      <w:r>
        <w:rPr>
          <w:noProof/>
        </w:rPr>
        <w:t>[5]</w:t>
      </w:r>
      <w:r>
        <w:fldChar w:fldCharType="end"/>
      </w:r>
      <w:r>
        <w:t xml:space="preserve">, in office-in-the-loop experiments </w:t>
      </w:r>
      <w:r>
        <w:fldChar w:fldCharType="begin"/>
      </w:r>
      <w:r>
        <w:instrText xml:space="preserve"> ADDIN EN.CITE &lt;EndNote&gt;&lt;Cite&gt;&lt;Author&gt;Sawada&lt;/Author&gt;&lt;Year&gt;2025&lt;/Year&gt;&lt;RecNum&gt;74&lt;/RecNum&gt;&lt;DisplayText&gt;[46]&lt;/DisplayText&gt;&lt;record&gt;&lt;rec-number&gt;74&lt;/rec-number&gt;&lt;foreign-keys&gt;&lt;key app="EN" db-id="mdae8500109496fea4aff9c086e16cc25895" timestamp="1793221649"&gt;74&lt;/key&gt;&lt;/foreign-keys&gt;&lt;ref-type name="Journal Article"&gt;17&lt;/ref-type&gt;&lt;contributors&gt;&lt;authors&gt;&lt;author&gt;Sawada, Tomoya&lt;/author&gt;&lt;author&gt;Mizuno, Masahiro&lt;/author&gt;&lt;author&gt;Hasegawa, Takaomi&lt;/author&gt;&lt;author&gt;Yokoyama, Keiichi&lt;/author&gt;&lt;author&gt;Kono, Mayuka&lt;/author&gt;&lt;/authors&gt;&lt;/contributors&gt;&lt;titles&gt;&lt;title&gt;Office-in-the-Loop: an investigation into Agentic AI for advanced building HVAC control systems&lt;/title&gt;&lt;secondary-title&gt;Data-Centric Engineering&lt;/secondary-title&gt;&lt;alt-title&gt;Data-Centric Eng.&lt;/alt-title&gt;&lt;/titles&gt;&lt;periodical&gt;&lt;full-title&gt;Data-Centric Engineering&lt;/full-title&gt;&lt;abbr-1&gt;Data-Centric Eng.&lt;/abbr-1&gt;&lt;/periodical&gt;&lt;pages&gt;e31&lt;/pages&gt;&lt;volume&gt;6&lt;/volume&gt;&lt;dates&gt;&lt;year&gt;2025&lt;/year&gt;&lt;/dates&gt;&lt;publisher&gt;Cambridge University Press&lt;/publisher&gt;&lt;label&gt;sawada2025&lt;/label&gt;&lt;urls&gt;&lt;/urls&gt;&lt;electronic-resource-num&gt;10.1017/dce.2025.10010&lt;/electronic-resource-num&gt;&lt;/record&gt;&lt;/Cite&gt;&lt;/EndNote&gt;</w:instrText>
      </w:r>
      <w:r>
        <w:fldChar w:fldCharType="separate"/>
      </w:r>
      <w:r>
        <w:rPr>
          <w:noProof/>
        </w:rPr>
        <w:t>[46]</w:t>
      </w:r>
      <w:r>
        <w:fldChar w:fldCharType="end"/>
      </w:r>
      <w:r>
        <w:t xml:space="preserve"> and to generate EnergyPlus models </w:t>
      </w:r>
      <w:r>
        <w:fldChar w:fldCharType="begin"/>
      </w:r>
      <w:r>
        <w:instrText xml:space="preserve"> ADDIN EN.CITE &lt;EndNote&gt;&lt;Cite&gt;&lt;Author&gt;Jiang&lt;/Author&gt;&lt;Year&gt;2024&lt;/Year&gt;&lt;RecNum&gt;40&lt;/RecNum&gt;&lt;DisplayText&gt;[47]&lt;/DisplayText&gt;&lt;record&gt;&lt;rec-number&gt;40&lt;/rec-number&gt;&lt;foreign-keys&gt;&lt;key app="EN" db-id="mdae8500109496fea4aff9c086e16cc25895" timestamp="1793221649"&gt;40&lt;/key&gt;&lt;/foreign-keys&gt;&lt;ref-type name="Journal Article"&gt;17&lt;/ref-type&gt;&lt;contributors&gt;&lt;authors&gt;&lt;author&gt;Jiang, Gang&lt;/author&gt;&lt;author&gt;Ma, Zhihao&lt;/author&gt;&lt;author&gt;Zhang, Liang&lt;/author&gt;&lt;author&gt;Chen, Jianli&lt;/author&gt;&lt;/authors&gt;&lt;/contributors&gt;&lt;titles&gt;&lt;title&gt;EPlus-LLM: A large language model-based computing platform for automated building energy modeling&lt;/title&gt;&lt;secondary-title&gt;Applied Energy&lt;/secondary-title&gt;&lt;alt-title&gt;Appl. Energy&lt;/alt-title&gt;&lt;/titles&gt;&lt;periodical&gt;&lt;full-title&gt;Applied Energy&lt;/full-title&gt;&lt;abbr-1&gt;Appl. Energy&lt;/abbr-1&gt;&lt;/periodical&gt;&lt;pages&gt;123431&lt;/pages&gt;&lt;volume&gt;367&lt;/volume&gt;&lt;dates&gt;&lt;year&gt;2024&lt;/year&gt;&lt;/dates&gt;&lt;publisher&gt;Elsevier&lt;/publisher&gt;&lt;label&gt;jiang2024&lt;/label&gt;&lt;urls&gt;&lt;/urls&gt;&lt;electronic-resource-num&gt;10.1016/j.apenergy.2024.123431&lt;/electronic-resource-num&gt;&lt;/record&gt;&lt;/Cite&gt;&lt;/EndNote&gt;</w:instrText>
      </w:r>
      <w:r>
        <w:fldChar w:fldCharType="separate"/>
      </w:r>
      <w:r>
        <w:rPr>
          <w:noProof/>
        </w:rPr>
        <w:t>[47]</w:t>
      </w:r>
      <w:r>
        <w:fldChar w:fldCharType="end"/>
      </w:r>
      <w:r>
        <w:t xml:space="preserve">; reviews summarize opportunities and risks </w: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MjE2NDkiPjUxPC9rZXk+PC9mb3JlaWduLWtleXM+PHJlZi10eXBlIG5hbWU9IkpvdXJuYWwgQXJ0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NSIgdGltZXN0YW1wPSIxNzkzMjIxNjQ5Ij41Nzwva2V5PjwvZm9yZWlnbi1rZXlzPjxyZWYtdHlw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 </w:instrTex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MjE2NDkiPjUxPC9rZXk+PC9mb3JlaWduLWtleXM+PHJlZi10eXBlIG5hbWU9IkpvdXJuYWwgQXJ0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NSIgdGltZXN0YW1wPSIxNzkzMjIxNjQ5Ij41Nzwva2V5PjwvZm9yZWlnbi1rZXlzPjxyZWYtdHlw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EN.CITE.DATA </w:instrText>
      </w:r>
      <w:r>
        <w:fldChar w:fldCharType="end"/>
      </w:r>
      <w:r>
        <w:fldChar w:fldCharType="separate"/>
      </w:r>
      <w:r>
        <w:rPr>
          <w:noProof/>
        </w:rPr>
        <w:t>[6,26]</w:t>
      </w:r>
      <w:r>
        <w:fldChar w:fldCharType="end"/>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timestamp="1793221649"&gt;10&lt;/key&gt;&lt;/foreign-keys&gt;&lt;ref-type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WaterML 2.0 gives every time series an interpolation type such as average, total or constant in the preceding or succeeding interval </w:t>
      </w:r>
      <w:r>
        <w:fldChar w:fldCharType="begin"/>
      </w:r>
      <w:r>
        <w:instrText xml:space="preserve"> ADDIN EN.CITE &lt;EndNote&gt;&lt;Cite&gt;&lt;Author&gt;Open Geospatial Consortium&lt;/Author&gt;&lt;Year&gt;2014&lt;/Year&gt;&lt;RecNum&gt;63&lt;/RecNum&gt;&lt;DisplayText&gt;[49]&lt;/DisplayText&gt;&lt;record&gt;&lt;rec-number&gt;63&lt;/rec-number&gt;&lt;foreign-keys&gt;&lt;key app="EN" db-id="mdae8500109496fea4aff9c086e16cc25895" timestamp="1793221649"&gt;63&lt;/key&gt;&lt;/foreign-keys&gt;&lt;ref-type name="Standard"&gt;58&lt;/ref-type&gt;&lt;contributors&gt;&lt;authors&gt;&lt;author&gt;Open Geospatial Consortium&lt;/author&gt;&lt;/authors&gt;&lt;secondary-authors&gt;&lt;author&gt;Taylor, Peter&lt;/author&gt;&lt;/secondary-authors&gt;&lt;/contributors&gt;&lt;titles&gt;&lt;title&gt;OGC WaterML 2.0: Part 1 – Timeseries, Version 2.0.1&lt;/title&gt;&lt;secondary-title&gt;OGC 10-126r4&lt;/secondary-title&gt;&lt;/titles&gt;&lt;dates&gt;&lt;year&gt;2014&lt;/year&gt;&lt;/dates&gt;&lt;label&gt;ogc_waterml2014&lt;/label&gt;&lt;urls&gt;&lt;related-urls&gt;&lt;url&gt;https://docs.ogc.org/is/10-126r4/10-126r4.pdf&lt;/url&gt;&lt;/related-urls&gt;&lt;/urls&gt;&lt;/record&gt;&lt;/Cite&gt;&lt;/EndNote&gt;</w:instrText>
      </w:r>
      <w:r>
        <w:fldChar w:fldCharType="separate"/>
      </w:r>
      <w:r>
        <w:rPr>
          <w:noProof/>
        </w:rPr>
        <w:t>[49]</w:t>
      </w:r>
      <w:r>
        <w:fldChar w:fldCharType="end"/>
      </w:r>
      <w:r>
        <w:t xml:space="preserve">; and EnergyPlus classifies its output variables as averaged or summed when reporting at coarser frequencies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timestamp="1793221649"&gt;20&lt;/key&gt;&lt;/foreign-keys&gt;&lt;ref-type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Industrial communication standards attach a quality to every value, for example the OPC UA status codes for last usable and substitute values </w:t>
      </w:r>
      <w:r>
        <w:fldChar w:fldCharType="begin"/>
      </w:r>
      <w:r>
        <w:instrText xml:space="preserve"> ADDIN EN.CITE &lt;EndNote&gt;&lt;Cite&gt;&lt;Author&gt;OPC Foundation&lt;/Author&gt;&lt;Year&gt;2026&lt;/Year&gt;&lt;RecNum&gt;65&lt;/RecNum&gt;&lt;DisplayText&gt;[50]&lt;/DisplayText&gt;&lt;record&gt;&lt;rec-number&gt;65&lt;/rec-number&gt;&lt;foreign-keys&gt;&lt;key app="EN" db-id="mdae8500109496fea4aff9c086e16cc25895" timestamp="1793221649"&gt;65&lt;/key&gt;&lt;/foreign-keys&gt;&lt;ref-type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EndNote&gt;</w:instrText>
      </w:r>
      <w:r>
        <w:fldChar w:fldCharType="separate"/>
      </w:r>
      <w:r>
        <w:rPr>
          <w:noProof/>
        </w:rPr>
        <w:t>[50]</w:t>
      </w:r>
      <w:r>
        <w:fldChar w:fldCharType="end"/>
      </w:r>
      <w:r>
        <w:t xml:space="preserve">. Provenance models such as W3C PROV describe which activity produced which entity from which inputs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timestamp="1793221649"&gt;55&lt;/key&gt;&lt;/foreign-keys&gt;&lt;ref-type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 Deterministic record and replay is a standard debugging technique </w:t>
      </w:r>
      <w:r>
        <w:fldChar w:fldCharType="begin"/>
      </w:r>
      <w:r>
        <w:instrText xml:space="preserve"> ADDIN EN.CITE &lt;EndNote&gt;&lt;Cite&gt;&lt;Author&gt;Chen&lt;/Author&gt;&lt;Year&gt;2015&lt;/Year&gt;&lt;RecNum&gt;12&lt;/RecNum&gt;&lt;DisplayText&gt;[52]&lt;/DisplayText&gt;&lt;record&gt;&lt;rec-number&gt;12&lt;/rec-number&gt;&lt;foreign-keys&gt;&lt;key app="EN" db-id="mdae8500109496fea4aff9c086e16cc25895" timestamp="1793221649"&gt;12&lt;/key&gt;&lt;/foreign-keys&gt;&lt;ref-type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EndNote&gt;</w:instrText>
      </w:r>
      <w:r>
        <w:fldChar w:fldCharType="separate"/>
      </w:r>
      <w:r>
        <w:rPr>
          <w:noProof/>
        </w:rPr>
        <w:t>[52]</w:t>
      </w:r>
      <w:r>
        <w:fldChar w:fldCharType="end"/>
      </w:r>
      <w:r>
        <w:t xml:space="preserve"> and has recently been applied to LLM agents </w:t>
      </w:r>
      <w:r>
        <w:fldChar w:fldCharType="begin"/>
      </w:r>
      <w:r>
        <w:instrText xml:space="preserve"> ADDIN EN.CITE &lt;EndNote&gt;&lt;Cite&gt;&lt;Author&gt;Feng&lt;/Author&gt;&lt;Year&gt;2025&lt;/Year&gt;&lt;RecNum&gt;21&lt;/RecNum&gt;&lt;DisplayText&gt;[53]&lt;/DisplayText&gt;&lt;record&gt;&lt;rec-number&gt;21&lt;/rec-number&gt;&lt;foreign-keys&gt;&lt;key app="EN" db-id="mdae8500109496fea4aff9c086e16cc25895" timestamp="1793221649"&gt;21&lt;/key&gt;&lt;/foreign-keys&gt;&lt;ref-type name="Generic"&gt;13&lt;/ref-type&gt;&lt;contributors&gt;&lt;authors&gt;&lt;author&gt;Feng, Erhu&lt;/author&gt;&lt;author&gt;Zhou, Wenbo&lt;/author&gt;&lt;author&gt;Liu, Zibin&lt;/author&gt;&lt;author&gt;Chen, Le&lt;/author&gt;&lt;author&gt;Dong, Yunpeng&lt;/author&gt;&lt;author&gt;Zhang, Cheng&lt;/author&gt;&lt;author&gt;Zhao, Yisheng&lt;/author&gt;&lt;author&gt;Du, Dong&lt;/author&gt;&lt;author&gt;Hua, Zhichao&lt;/author&gt;&lt;author&gt;Xia, Yubin&lt;/author&gt;&lt;author&gt;Chen, Haibo&lt;/author&gt;&lt;/authors&gt;&lt;/contributors&gt;&lt;titles&gt;&lt;title&gt;Get Experience from Practice: LLM Agents with Record &amp;amp; Replay&lt;/title&gt;&lt;secondary-title&gt;arXiv&lt;/secondary-title&gt;&lt;/titles&gt;&lt;dates&gt;&lt;year&gt;2025&lt;/year&gt;&lt;/dates&gt;&lt;label&gt;feng2025agentrr&lt;/label&gt;&lt;work-type&gt;arXiv:2505.17716&lt;/work-type&gt;&lt;urls&gt;&lt;related-urls&gt;&lt;url&gt;https://arxiv.org/abs/2505.17716&lt;/url&gt;&lt;/related-urls&gt;&lt;/urls&gt;&lt;electronic-resource-num&gt;10.48550/arXiv.2505.17716&lt;/electronic-resource-num&gt;&lt;/record&gt;&lt;/Cite&gt;&lt;/EndNote&gt;</w:instrText>
      </w:r>
      <w:r>
        <w:fldChar w:fldCharType="separate"/>
      </w:r>
      <w:r>
        <w:rPr>
          <w:noProof/>
        </w:rPr>
        <w:t>[53]</w:t>
      </w:r>
      <w:r>
        <w:fldChar w:fldCharType="end"/>
      </w:r>
      <w:r>
        <w:t xml:space="preserve">. Finally, real-time systems separate when a task’s outputs take effect from how long it actually runs: Giotto fixes this logical execution time </w:t>
      </w:r>
      <w:r>
        <w:fldChar w:fldCharType="begin"/>
      </w:r>
      <w:r>
        <w:instrText xml:space="preserve"> ADDIN EN.CITE &lt;EndNote&gt;&lt;Cite&gt;&lt;Author&gt;Henzinger&lt;/Author&gt;&lt;Year&gt;2003&lt;/Year&gt;&lt;RecNum&gt;33&lt;/RecNum&gt;&lt;DisplayText&gt;[54]&lt;/DisplayText&gt;&lt;record&gt;&lt;rec-number&gt;33&lt;/rec-number&gt;&lt;foreign-keys&gt;&lt;key app="EN" db-id="mdae8500109496fea4aff9c086e16cc25895" timestamp="1793221649"&gt;33&lt;/key&gt;&lt;/foreign-keys&gt;&lt;ref-type name="Journal Article"&gt;17&lt;/ref-type&gt;&lt;contributors&gt;&lt;authors&gt;&lt;author&gt;Henzinger, T. A.&lt;/author&gt;&lt;author&gt;Horowitz, B.&lt;/author&gt;&lt;author&gt;Kirsch, C. M.&lt;/author&gt;&lt;/authors&gt;&lt;/contributors&gt;&lt;titles&gt;&lt;title&gt;Giotto: a time-triggered language for embedded programming&lt;/title&gt;&lt;secondary-title&gt;Proceedings of the IEEE&lt;/secondary-title&gt;&lt;alt-title&gt;Proc. IEEE&lt;/alt-title&gt;&lt;/titles&gt;&lt;periodical&gt;&lt;full-title&gt;Proceedings of the IEEE&lt;/full-title&gt;&lt;abbr-1&gt;Proc. IEEE&lt;/abbr-1&gt;&lt;/periodical&gt;&lt;pages&gt;84-99&lt;/pages&gt;&lt;volume&gt;91&lt;/volume&gt;&lt;number&gt;1&lt;/number&gt;&lt;dates&gt;&lt;year&gt;2003&lt;/year&gt;&lt;/dates&gt;&lt;publisher&gt;IEEE&lt;/publisher&gt;&lt;label&gt;henzinger2003&lt;/label&gt;&lt;urls&gt;&lt;/urls&gt;&lt;electronic-resource-num&gt;10.1109/JPROC.2002.805825&lt;/electronic-resource-num&gt;&lt;/record&gt;&lt;/Cite&gt;&lt;/EndNote&gt;</w:instrText>
      </w:r>
      <w:r>
        <w:fldChar w:fldCharType="separate"/>
      </w:r>
      <w:r>
        <w:rPr>
          <w:noProof/>
        </w:rPr>
        <w:t>[54]</w:t>
      </w:r>
      <w:r>
        <w:fldChar w:fldCharType="end"/>
      </w:r>
      <w:r>
        <w:t xml:space="preserve">, and Lingua Franca runs a deadline handler when a reaction is late </w:t>
      </w:r>
      <w:r>
        <w:fldChar w:fldCharType="begin"/>
      </w:r>
      <w:r>
        <w:instrText xml:space="preserve"> ADDIN EN.CITE &lt;EndNote&gt;&lt;Cite&gt;&lt;Author&gt;Lohstroh&lt;/Author&gt;&lt;Year&gt;2021&lt;/Year&gt;&lt;RecNum&gt;53&lt;/RecNum&gt;&lt;DisplayText&gt;[55]&lt;/DisplayText&gt;&lt;record&gt;&lt;rec-number&gt;53&lt;/rec-number&gt;&lt;foreign-keys&gt;&lt;key app="EN" db-id="mdae8500109496fea4aff9c086e16cc25895" timestamp="1793221649"&gt;53&lt;/key&gt;&lt;/foreign-keys&gt;&lt;ref-type name="Journal Article"&gt;17&lt;/ref-type&gt;&lt;contributors&gt;&lt;authors&gt;&lt;author&gt;Lohstroh, Marten&lt;/author&gt;&lt;author&gt;Menard, Christian&lt;/author&gt;&lt;author&gt;Bateni, Soroush&lt;/author&gt;&lt;author&gt;Lee, Edward A.&lt;/author&gt;&lt;/authors&gt;&lt;/contributors&gt;&lt;titles&gt;&lt;title&gt;Toward a Lingua Franca for Deterministic Concurrent Systems&lt;/title&gt;&lt;secondary-title&gt;ACM Transactions on Embedded Computing Systems&lt;/secondary-title&gt;&lt;alt-title&gt;ACM Trans. Embed. Comput. Syst.&lt;/alt-title&gt;&lt;/titles&gt;&lt;periodical&gt;&lt;full-title&gt;ACM Transactions on Embedded Computing Systems&lt;/full-title&gt;&lt;abbr-1&gt;ACM Trans. Embed. Comput. Syst.&lt;/abbr-1&gt;&lt;/periodical&gt;&lt;pages&gt;1-27&lt;/pages&gt;&lt;volume&gt;20&lt;/volume&gt;&lt;number&gt;4&lt;/number&gt;&lt;dates&gt;&lt;year&gt;2021&lt;/year&gt;&lt;/dates&gt;&lt;publisher&gt;ACM&lt;/publisher&gt;&lt;label&gt;lohstroh2021&lt;/label&gt;&lt;urls&gt;&lt;/urls&gt;&lt;electronic-resource-num&gt;10.1145/3448128&lt;/electronic-resource-num&gt;&lt;/record&gt;&lt;/Cite&gt;&lt;/EndNote&gt;</w:instrText>
      </w:r>
      <w:r>
        <w:fldChar w:fldCharType="separate"/>
      </w:r>
      <w:r>
        <w:rPr>
          <w:noProof/>
        </w:rPr>
        <w:t>[55]</w:t>
      </w:r>
      <w:r>
        <w:fldChar w:fldCharType="end"/>
      </w:r>
      <w:r>
        <w:t xml:space="preserve">. TIDE brings these ideas into building co-simulation. </w:t>
      </w:r>
      <w:r>
        <w:t xml:space="preserve">Table </w:t>
      </w:r>
      <w:r>
        <w:fldChar w:fldCharType="begin"/>
      </w:r>
      <w:r>
        <w:instrText xml:space="preserve"> REF _Ref_tbl_features \h </w:instrText>
      </w:r>
      <w:r>
        <w:fldChar w:fldCharType="separate"/>
      </w:r>
      <w:r>
        <w:t>1</w:t>
      </w:r>
      <w:r>
        <w:fldChar w:fldCharType="end"/>
      </w:r>
      <w:r>
        <w:t xml:space="preserve"> compares it with representative tools.</w:t>
      </w:r>
    </w:p>
    <w:p>
      <w:pPr>
        <w:pStyle w:val="TableCaption"/>
      </w:pPr>
      <w:r>
        <w:rPr>
          <w:b/>
          <w:bCs/>
        </w:rPr>
        <w:t xml:space="preserve">Table </w:t>
      </w:r>
      <w:bookmarkStart w:id="3" w:name="_Ref_tbl_features"/>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fldChar w:fldCharType="begin"/>
      </w:r>
      <w:r>
        <w:instrText xml:space="preserve"> REF _Ref_fig_concept \h </w:instrText>
      </w:r>
      <w:r>
        <w:fldChar w:fldCharType="separate"/>
      </w:r>
      <w:r>
        <w:t>1</w:t>
      </w:r>
      <w:r>
        <w:fldChar w:fldCharType="end"/>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220000" cy="2397918"/>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220000" cy="2397918"/>
                    </a:xfrm>
                    <a:prstGeom prst="rect">
                      <a:avLst/>
                    </a:prstGeom>
                  </pic:spPr>
                </pic:pic>
              </a:graphicData>
            </a:graphic>
          </wp:inline>
        </w:drawing>
      </w:r>
    </w:p>
    <w:p>
      <w:pPr>
        <w:pStyle w:val="Caption"/>
      </w:pPr>
      <w:r>
        <w:rPr>
          <w:b/>
          <w:bCs/>
        </w:rPr>
        <w:t xml:space="preserve">Fig. </w:t>
      </w:r>
      <w:bookmarkStart w:id="5" w:name="_Ref_fig_concept"/>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fldChar w:fldCharType="begin"/>
      </w:r>
      <w:r>
        <w:instrText xml:space="preserve"> SEQ Equation \* ARABIC </w:instrText>
      </w:r>
      <w:r>
        <w:fldChar w:fldCharType="separate"/>
      </w:r>
      <w:r>
        <w:t>1</w:t>
      </w:r>
      <w:r>
        <w:fldChar w:fldCharType="end"/>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fldChar w:fldCharType="begin"/>
      </w:r>
      <w:r>
        <w:instrText xml:space="preserve"> REF _Ref_tbl_kinds \h </w:instrText>
      </w:r>
      <w:r>
        <w:fldChar w:fldCharType="separate"/>
      </w:r>
      <w:r>
        <w:t>2</w:t>
      </w:r>
      <w:r>
        <w:fldChar w:fldCharType="end"/>
      </w:r>
      <w:r>
        <w:t xml:space="preserve">).</w:t>
      </w:r>
    </w:p>
    <w:p>
      <w:pPr>
        <w:pStyle w:val="TableCaption"/>
      </w:pPr>
      <w:r>
        <w:rPr>
          <w:b/>
          <w:bCs/>
        </w:rPr>
        <w:t xml:space="preserve">Table </w:t>
      </w:r>
      <w:bookmarkStart w:id="7" w:name="_Ref_tbl_kinds"/>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fldChar w:fldCharType="begin"/>
      </w:r>
      <w:r>
        <w:instrText xml:space="preserve"> SEQ Equation \* ARABIC </w:instrText>
      </w:r>
      <w:r>
        <w:fldChar w:fldCharType="separate"/>
      </w:r>
      <w:r>
        <w:t>2</w:t>
      </w:r>
      <w:r>
        <w:fldChar w:fldCharType="end"/>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fldChar w:fldCharType="begin"/>
      </w:r>
      <w:r>
        <w:instrText xml:space="preserve"> SEQ Equation \* ARABIC </w:instrText>
      </w:r>
      <w:r>
        <w:fldChar w:fldCharType="separate"/>
      </w:r>
      <w:r>
        <w:t>3</w:t>
      </w:r>
      <w:r>
        <w:fldChar w:fldCharType="end"/>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fldChar w:fldCharType="begin"/>
      </w:r>
      <w:r>
        <w:instrText xml:space="preserve"> REF _Ref_fig_timeline \h </w:instrText>
      </w:r>
      <w:r>
        <w:fldChar w:fldCharType="separate"/>
      </w:r>
      <w:r>
        <w:t>2</w:t>
      </w:r>
      <w:r>
        <w:fldChar w:fldCharType="end"/>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Figure"/>
      </w:pPr>
      <w:r>
        <w:drawing>
          <wp:inline distT="0" distB="0" distL="0" distR="0">
            <wp:extent cx="5040000" cy="2491711"/>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040000" cy="2491711"/>
                    </a:xfrm>
                    <a:prstGeom prst="rect">
                      <a:avLst/>
                    </a:prstGeom>
                  </pic:spPr>
                </pic:pic>
              </a:graphicData>
            </a:graphic>
          </wp:inline>
        </w:drawing>
      </w:r>
    </w:p>
    <w:p>
      <w:pPr>
        <w:pStyle w:val="Caption"/>
      </w:pPr>
      <w:r>
        <w:rPr>
          <w:b/>
          <w:bCs/>
        </w:rPr>
        <w:t xml:space="preserve">Fig. </w:t>
      </w:r>
      <w:bookmarkStart w:id="10" w:name="_Ref_fig_timeline"/>
      <w:r>
        <w:rPr>
          <w:b/>
          <w:bCs/>
        </w:rPr>
        <w:fldChar w:fldCharType="begin"/>
      </w:r>
      <w:r>
        <w:rPr>
          <w:b/>
          <w:bCs/>
        </w:rPr>
        <w:instrText xml:space="preserve"> SEQ Figure \* ARABIC </w:instrText>
      </w:r>
      <w:r>
        <w:rPr>
          <w:b/>
          <w:bCs/>
        </w:rPr>
        <w:fldChar w:fldCharType="separate"/>
      </w:r>
      <w:r>
        <w:rPr>
          <w:b/>
          <w:bCs/>
        </w:rPr>
        <w:t>2</w:t>
      </w:r>
      <w:r>
        <w:rPr>
          <w:b/>
          <w:bCs/>
        </w:rPr>
        <w:fldChar w:fldCharType="end"/>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fldChar w:fldCharType="begin"/>
      </w:r>
      <w:r>
        <w:instrText xml:space="preserve"> ADDIN EN.CITE &lt;EndNote&gt;&lt;Cite&gt;&lt;Author&gt;Fujimoto&lt;/Author&gt;&lt;Year&gt;2000&lt;/Year&gt;&lt;RecNum&gt;25&lt;/RecNum&gt;&lt;DisplayText&gt;[20,33]&lt;/DisplayText&gt;&lt;record&gt;&lt;rec-number&gt;25&lt;/rec-number&gt;&lt;foreign-keys&gt;&lt;key app="EN" db-id="mdae8500109496fea4aff9c086e16cc25895" timestamp="1793221649"&gt;25&lt;/key&gt;&lt;/foreign-keys&gt;&lt;ref-type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Cite&gt;&lt;Author&gt;Ofenloch&lt;/Author&gt;&lt;Year&gt;2022&lt;/Year&gt;&lt;RecNum&gt;62&lt;/RecNum&gt;&lt;record&gt;&lt;rec-number&gt;62&lt;/rec-number&gt;&lt;foreign-keys&gt;&lt;key app="EN" db-id="mdae8500109496fea4aff9c086e16cc25895" timestamp="1793221649"&gt;62&lt;/key&gt;&lt;/foreign-keys&gt;&lt;ref-type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Germany&lt;/pub-location&gt;&lt;publisher&gt;IEEE&lt;/publisher&gt;&lt;label&gt;ofenloch2022&lt;/label&gt;&lt;urls&gt;&lt;/urls&gt;&lt;electronic-resource-num&gt;10.1109/OSMSES54027.2022.9769116&lt;/electronic-resource-num&gt;&lt;/record&gt;&lt;/Cite&gt;&lt;/EndNote&gt;</w:instrText>
      </w:r>
      <w:r>
        <w:fldChar w:fldCharType="separate"/>
      </w:r>
      <w:r>
        <w:rPr>
          <w:noProof/>
        </w:rPr>
        <w:t>[20,33]</w:t>
      </w:r>
      <w:r>
        <w:fldChar w:fldCharType="end"/>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IEC 61850 </w:t>
      </w:r>
      <w:r>
        <w:fldChar w:fldCharType="begin"/>
      </w:r>
      <w:r>
        <w:instrText xml:space="preserve"> ADDIN EN.CITE &lt;EndNote&gt;&lt;Cite&gt;&lt;Author&gt;OPC Foundation&lt;/Author&gt;&lt;Year&gt;2026&lt;/Year&gt;&lt;RecNum&gt;65&lt;/RecNum&gt;&lt;DisplayText&gt;[50,56]&lt;/DisplayText&gt;&lt;record&gt;&lt;rec-number&gt;65&lt;/rec-number&gt;&lt;foreign-keys&gt;&lt;key app="EN" db-id="mdae8500109496fea4aff9c086e16cc25895" timestamp="1793221649"&gt;65&lt;/key&gt;&lt;/foreign-keys&gt;&lt;ref-type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Cite&gt;&lt;Author&gt;International Electrotechnical Commission&lt;/Author&gt;&lt;Year&gt;2010&lt;/Year&gt;&lt;RecNum&gt;36&lt;/RecNum&gt;&lt;record&gt;&lt;rec-number&gt;36&lt;/rec-number&gt;&lt;foreign-keys&gt;&lt;key app="EN" db-id="mdae8500109496fea4aff9c086e16cc25895" timestamp="1793221649"&gt;36&lt;/key&gt;&lt;/foreign-keys&gt;&lt;ref-type name="Standard"&gt;58&lt;/ref-type&gt;&lt;contributors&gt;&lt;authors&gt;&lt;author&gt;International Electrotechnical Commission&lt;/author&gt;&lt;/authors&gt;&lt;/contributors&gt;&lt;titles&gt;&lt;title&gt;Communication networks and systems for power utility automation – Part 7-3: Basic communication structure – Common data classes&lt;/title&gt;&lt;secondary-title&gt;IEC 61850-7-3:2010, Edition 2.0&lt;/secondary-title&gt;&lt;/titles&gt;&lt;dates&gt;&lt;year&gt;2010&lt;/year&gt;&lt;/dates&gt;&lt;isbn&gt;978-2-88912-258-5&lt;/isbn&gt;&lt;label&gt;iec61850_7_3&lt;/label&gt;&lt;urls&gt;&lt;related-urls&gt;&lt;url&gt;https://webstore.iec.ch/en/publication/6016&lt;/url&gt;&lt;/related-urls&gt;&lt;/urls&gt;&lt;/record&gt;&lt;/Cite&gt;&lt;/EndNote&gt;</w:instrText>
      </w:r>
      <w:r>
        <w:fldChar w:fldCharType="separate"/>
      </w:r>
      <w:r>
        <w:rPr>
          <w:noProof/>
        </w:rPr>
        <w:t>[50,56]</w:t>
      </w:r>
      <w:r>
        <w:fldChar w:fldCharType="end"/>
      </w:r>
      <w:r>
        <w:t xml:space="preserve">, and results include a count per port. The LLM supervisor of Py-CoSim additionally parses and validates the model’s JSON answer,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fldChar w:fldCharType="begin"/>
      </w:r>
      <w:r>
        <w:instrText xml:space="preserve"> ADDIN EN.CITE &lt;EndNote&gt;&lt;Cite&gt;&lt;Author&gt;Chen&lt;/Author&gt;&lt;Year&gt;2015&lt;/Year&gt;&lt;RecNum&gt;12&lt;/RecNum&gt;&lt;DisplayText&gt;[34,52]&lt;/DisplayText&gt;&lt;record&gt;&lt;rec-number&gt;12&lt;/rec-number&gt;&lt;foreign-keys&gt;&lt;key app="EN" db-id="mdae8500109496fea4aff9c086e16cc25895" timestamp="1793221649"&gt;12&lt;/key&gt;&lt;/foreign-keys&gt;&lt;ref-type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Cite&gt;&lt;Author&gt;HELICS developers (GMLC-TDC)&lt;/Author&gt;&lt;Year&gt;2026&lt;/Year&gt;&lt;RecNum&gt;31&lt;/RecNum&gt;&lt;record&gt;&lt;rec-number&gt;31&lt;/rec-number&gt;&lt;foreign-keys&gt;&lt;key app="EN" db-id="mdae8500109496fea4aff9c086e16cc25895" timestamp="1793221649"&gt;31&lt;/key&gt;&lt;/foreign-keys&gt;&lt;ref-type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EndNote&gt;</w:instrText>
      </w:r>
      <w:r>
        <w:fldChar w:fldCharType="separate"/>
      </w:r>
      <w:r>
        <w:rPr>
          <w:noProof/>
        </w:rPr>
        <w:t>[34,52]</w:t>
      </w:r>
      <w:r>
        <w:fldChar w:fldCharType="end"/>
      </w:r>
      <w:r>
        <w:t xml:space="preserve">. Here it is automatic, per component, and aimed at AI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timestamp="1793221649"&gt;55&lt;/key&gt;&lt;/foreign-keys&gt;&lt;ref-type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PSIxNzkzMjIxNjQ5Ij4zMzwva2V5PjwvZm9yZWlnbi1rZXlzPjxyZWYtdHlwZSBuYW1lPSJKb3Vy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YzA4NmUxNmNjMjU4OTUiIHRpbWVzdGFtcD0iMTc5MzIyMTY0OSI+NTM8L2tleT48L2ZvcmVpZ24t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 </w:instrTex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PSIxNzkzMjIxNjQ5Ij4zMzwva2V5PjwvZm9yZWlnbi1rZXlzPjxyZWYtdHlwZSBuYW1lPSJKb3Vy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YzA4NmUxNmNjMjU4OTUiIHRpbWVzdGFtcD0iMTc5MzIyMTY0OSI+NTM8L2tleT48L2ZvcmVpZ24t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EN.CITE.DATA </w:instrText>
      </w:r>
      <w:r>
        <w:fldChar w:fldCharType="end"/>
      </w:r>
      <w:r>
        <w:fldChar w:fldCharType="separate"/>
      </w:r>
      <w:r>
        <w:rPr>
          <w:noProof/>
        </w:rPr>
        <w:t>[54,55]</w:t>
      </w:r>
      <w:r>
        <w:fldChar w:fldCharType="end"/>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timestamp="1793221649"&gt;20&lt;/key&gt;&lt;/foreign-keys&gt;&lt;ref-type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fldChar w:fldCharType="begin"/>
      </w:r>
      <w:r>
        <w:instrText xml:space="preserve"> ADDIN EN.CITE &lt;EndNote&gt;&lt;Cite&gt;&lt;Author&gt;U.S. Department of Energy&lt;/Author&gt;&lt;Year&gt;2018&lt;/Year&gt;&lt;RecNum&gt;18&lt;/RecNum&gt;&lt;DisplayText&gt;[39,40]&lt;/DisplayText&gt;&lt;record&gt;&lt;rec-number&gt;18&lt;/rec-number&gt;&lt;foreign-keys&gt;&lt;key app="EN" db-id="mdae8500109496fea4aff9c086e16cc25895" timestamp="1793221649"&gt;18&lt;/key&gt;&lt;/foreign-keys&gt;&lt;ref-type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Cite&gt;&lt;Author&gt;Lawrence Berkeley National Laboratory&lt;/Author&gt;&lt;Year&gt;2021&lt;/Year&gt;&lt;RecNum&gt;48&lt;/RecNum&gt;&lt;record&gt;&lt;rec-number&gt;48&lt;/rec-number&gt;&lt;foreign-keys&gt;&lt;key app="EN" db-id="mdae8500109496fea4aff9c086e16cc25895" timestamp="1793221649"&gt;48&lt;/key&gt;&lt;/foreign-keys&gt;&lt;ref-type name="Web Page"&gt;12&lt;/ref-type&gt;&lt;contributors&gt;&lt;authors&gt;&lt;author&gt;Lawrence Berkeley National Laboratory&lt;/author&gt;&lt;/authors&gt;&lt;/contributors&gt;&lt;titles&gt;&lt;title&gt;FMU Export of EnergyPlus User Guide, Section 5: Usage of EnergyPlus as an FMU&lt;/title&gt;&lt;/titles&gt;&lt;dates&gt;&lt;year&gt;2021&lt;/year&gt;&lt;/dates&gt;&lt;label&gt;lbnl_fmuexport&lt;/label&gt;&lt;urls&gt;&lt;related-urls&gt;&lt;url&gt;https://simulationresearch.lbl.gov/fmu/EnergyPlus/export/userGuide/usage.html&lt;/url&gt;&lt;/related-urls&gt;&lt;/urls&gt;&lt;access-date&gt;2026-10-28&lt;/access-date&gt;&lt;/record&gt;&lt;/Cite&gt;&lt;/EndNote&gt;</w:instrText>
      </w:r>
      <w:r>
        <w:fldChar w:fldCharType="separate"/>
      </w:r>
      <w:r>
        <w:rPr>
          <w:noProof/>
        </w:rPr>
        <w:t>[39,40]</w:t>
      </w:r>
      <w:r>
        <w:fldChar w:fldCharType="end"/>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available at https://github.com/lz356/Py-CoSim.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EPW weather, PV (a PVWatts-type model </w:t>
      </w:r>
      <w:r>
        <w:fldChar w:fldCharType="begin"/>
      </w:r>
      <w:r>
        <w:instrText xml:space="preserve"> ADDIN EN.CITE &lt;EndNote&gt;&lt;Cite&gt;&lt;Author&gt;Dobos&lt;/Author&gt;&lt;Year&gt;2014&lt;/Year&gt;&lt;RecNum&gt;17&lt;/RecNum&gt;&lt;DisplayText&gt;[57]&lt;/DisplayText&gt;&lt;record&gt;&lt;rec-number&gt;17&lt;/rec-number&gt;&lt;foreign-keys&gt;&lt;key app="EN" db-id="mdae8500109496fea4aff9c086e16cc25895" timestamp="1793221649"&gt;17&lt;/key&gt;&lt;/foreign-keys&gt;&lt;ref-type name="Report"&gt;27&lt;/ref-type&gt;&lt;contributors&gt;&lt;authors&gt;&lt;author&gt;Dobos, A. P.&lt;/author&gt;&lt;/authors&gt;&lt;/contributors&gt;&lt;titles&gt;&lt;title&gt;PVWatts Version 5 Manual&lt;/title&gt;&lt;/titles&gt;&lt;dates&gt;&lt;year&gt;2014&lt;/year&gt;&lt;/dates&gt;&lt;pub-location&gt;Golden, CO&lt;/pub-location&gt;&lt;publisher&gt;National Renewable Energy Laboratory&lt;/publisher&gt;&lt;isbn&gt;NREL/TP-6A20-62641&lt;/isbn&gt;&lt;label&gt;dobos2014&lt;/label&gt;&lt;work-type&gt;Technical Report&lt;/work-type&gt;&lt;urls&gt;&lt;/urls&gt;&lt;electronic-resource-num&gt;10.2172/1158421&lt;/electronic-resource-num&gt;&lt;/record&gt;&lt;/Cite&gt;&lt;/EndNote&gt;</w:instrText>
      </w:r>
      <w:r>
        <w:fldChar w:fldCharType="separate"/>
      </w:r>
      <w:r>
        <w:rPr>
          <w:noProof/>
        </w:rPr>
        <w:t>[57]</w:t>
      </w:r>
      <w:r>
        <w:fldChar w:fldCharType="end"/>
      </w:r>
      <w:r>
        <w:t xml:space="preserve">), batteries, tariffs, grid metering, controllers, a two-node resistance–capacitance building, occupancy from the 2017 National Household Travel Survey </w:t>
      </w:r>
      <w:r>
        <w:fldChar w:fldCharType="begin"/>
      </w:r>
      <w:r>
        <w:instrText xml:space="preserve"> ADDIN EN.CITE &lt;EndNote&gt;&lt;Cite&gt;&lt;Author&gt;Federal Highway Administration&lt;/Author&gt;&lt;Year&gt;2017&lt;/Year&gt;&lt;RecNum&gt;22&lt;/RecNum&gt;&lt;DisplayText&gt;[58]&lt;/DisplayText&gt;&lt;record&gt;&lt;rec-number&gt;22&lt;/rec-number&gt;&lt;foreign-keys&gt;&lt;key app="EN" db-id="mdae8500109496fea4aff9c086e16cc25895" timestamp="1793221649"&gt;22&lt;/key&gt;&lt;/foreign-keys&gt;&lt;ref-type name="Web Page"&gt;12&lt;/ref-type&gt;&lt;contributors&gt;&lt;authors&gt;&lt;author&gt;Federal Highway Administration&lt;/author&gt;&lt;/authors&gt;&lt;/contributors&gt;&lt;titles&gt;&lt;title&gt;2017 National Household Travel Survey&lt;/title&gt;&lt;/titles&gt;&lt;dates&gt;&lt;year&gt;2017&lt;/year&gt;&lt;/dates&gt;&lt;publisher&gt;U.S. Department of Transportation&lt;/publisher&gt;&lt;label&gt;fhwa2017&lt;/label&gt;&lt;urls&gt;&lt;related-urls&gt;&lt;url&gt;https://nhts.ornl.gov&lt;/url&gt;&lt;/related-urls&gt;&lt;/urls&gt;&lt;access-date&gt;2026-10-28&lt;/access-date&gt;&lt;/record&gt;&lt;/Cite&gt;&lt;/EndNote&gt;</w:instrText>
      </w:r>
      <w:r>
        <w:fldChar w:fldCharType="separate"/>
      </w:r>
      <w:r>
        <w:rPr>
          <w:noProof/>
        </w:rPr>
        <w:t>[58]</w:t>
      </w:r>
      <w:r>
        <w:fldChar w:fldCharType="end"/>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fldChar w:fldCharType="begin"/>
      </w:r>
      <w:r>
        <w:instrText xml:space="preserve"> ADDIN EN.CITE &lt;EndNote&gt;&lt;Cite&gt;&lt;Author&gt;Crawley&lt;/Author&gt;&lt;Year&gt;2001&lt;/Year&gt;&lt;RecNum&gt;13&lt;/RecNum&gt;&lt;DisplayText&gt;[59]&lt;/DisplayText&gt;&lt;record&gt;&lt;rec-number&gt;13&lt;/rec-number&gt;&lt;foreign-keys&gt;&lt;key app="EN" db-id="mdae8500109496fea4aff9c086e16cc25895" timestamp="1793221649"&gt;13&lt;/key&gt;&lt;/foreign-keys&gt;&lt;ref-type name="Journal Article"&gt;17&lt;/ref-type&gt;&lt;contributors&gt;&lt;authors&gt;&lt;author&gt;Crawley, Drury B.&lt;/author&gt;&lt;author&gt;Lawrie, Linda K.&lt;/author&gt;&lt;author&gt;Winkelmann, Frederick C.&lt;/author&gt;&lt;author&gt;Buhl, W. F.&lt;/author&gt;&lt;author&gt;Huang, Y. Joe&lt;/author&gt;&lt;author&gt;Pedersen, Curtis O.&lt;/author&gt;&lt;author&gt;Strand, Richard K.&lt;/author&gt;&lt;author&gt;Liesen, Richard J.&lt;/author&gt;&lt;author&gt;Fisher, Daniel E.&lt;/author&gt;&lt;author&gt;Witte, Michael J.&lt;/author&gt;&lt;author&gt;Glazer, Jason&lt;/author&gt;&lt;/authors&gt;&lt;/contributors&gt;&lt;titles&gt;&lt;title&gt;EnergyPlus: creating a new-generation building energy simulation program&lt;/title&gt;&lt;secondary-title&gt;Energy and Buildings&lt;/secondary-title&gt;&lt;alt-title&gt;Energy Build.&lt;/alt-title&gt;&lt;/titles&gt;&lt;periodical&gt;&lt;full-title&gt;Energy and Buildings&lt;/full-title&gt;&lt;abbr-1&gt;Energy Build.&lt;/abbr-1&gt;&lt;/periodical&gt;&lt;pages&gt;319-331&lt;/pages&gt;&lt;volume&gt;33&lt;/volume&gt;&lt;number&gt;4&lt;/number&gt;&lt;dates&gt;&lt;year&gt;2001&lt;/year&gt;&lt;/dates&gt;&lt;publisher&gt;Elsevier&lt;/publisher&gt;&lt;label&gt;crawley2001&lt;/label&gt;&lt;urls&gt;&lt;/urls&gt;&lt;electronic-resource-num&gt;10.1016/S0378-7788(00)00114-6&lt;/electronic-resource-num&gt;&lt;/record&gt;&lt;/Cite&gt;&lt;/EndNote&gt;</w:instrText>
      </w:r>
      <w:r>
        <w:fldChar w:fldCharType="separate"/>
      </w:r>
      <w:r>
        <w:rPr>
          <w:noProof/>
        </w:rPr>
        <w:t>[59]</w:t>
      </w:r>
      <w:r>
        <w:fldChar w:fldCharType="end"/>
      </w:r>
      <w:r>
        <w:t xml:space="preserve"> and the DOE small office reference building (511 m</w:t>
      </w:r>
      <w:r>
        <w:rPr>
          <w:vertAlign w:val="superscript"/>
        </w:rPr>
        <w:t xml:space="preserve">2</w:t>
      </w:r>
      <w:r>
        <w:t xml:space="preserve">, five conditioned zones, packaged single-zone air conditioners with direct-expansion cooling) </w:t>
      </w:r>
      <w:r>
        <w:fldChar w:fldCharType="begin"/>
      </w:r>
      <w:r>
        <w:instrText xml:space="preserve"> ADDIN EN.CITE &lt;EndNote&gt;&lt;Cite&gt;&lt;Author&gt;Deru&lt;/Author&gt;&lt;Year&gt;2011&lt;/Year&gt;&lt;RecNum&gt;15&lt;/RecNum&gt;&lt;DisplayText&gt;[60]&lt;/DisplayText&gt;&lt;record&gt;&lt;rec-number&gt;15&lt;/rec-number&gt;&lt;foreign-keys&gt;&lt;key app="EN" db-id="mdae8500109496fea4aff9c086e16cc25895" timestamp="1793221649"&gt;15&lt;/key&gt;&lt;/foreign-keys&gt;&lt;ref-type name="Report"&gt;27&lt;/ref-type&gt;&lt;contributors&gt;&lt;authors&gt;&lt;author&gt;Deru, M.&lt;/author&gt;&lt;author&gt;Field, K.&lt;/author&gt;&lt;author&gt;Studer, D.&lt;/author&gt;&lt;author&gt;Benne, K.&lt;/author&gt;&lt;author&gt;Griffith, B.&lt;/author&gt;&lt;author&gt;Torcellini, P.&lt;/author&gt;&lt;author&gt;Liu, B.&lt;/author&gt;&lt;author&gt;Halverson, M.&lt;/author&gt;&lt;author&gt;Winiarski, D.&lt;/author&gt;&lt;author&gt;Rosenberg, M.&lt;/author&gt;&lt;author&gt;Yazdanian, M.&lt;/author&gt;&lt;author&gt;Huang, J.&lt;/author&gt;&lt;author&gt;Crawley, D.&lt;/author&gt;&lt;/authors&gt;&lt;/contributors&gt;&lt;titles&gt;&lt;title&gt;U.S. Department of Energy Commercial Reference Building Models of the National Building Stock&lt;/title&gt;&lt;/titles&gt;&lt;dates&gt;&lt;year&gt;2011&lt;/year&gt;&lt;/dates&gt;&lt;pub-location&gt;Golden, CO&lt;/pub-location&gt;&lt;publisher&gt;National Renewable Energy Laboratory&lt;/publisher&gt;&lt;isbn&gt;NREL/TP-5500-46861&lt;/isbn&gt;&lt;label&gt;deru2011&lt;/label&gt;&lt;work-type&gt;Technical Report&lt;/work-type&gt;&lt;urls&gt;&lt;/urls&gt;&lt;electronic-resource-num&gt;10.2172/1009264&lt;/electronic-resource-num&gt;&lt;/record&gt;&lt;/Cite&gt;&lt;/EndNote&gt;</w:instrText>
      </w:r>
      <w:r>
        <w:fldChar w:fldCharType="separate"/>
      </w:r>
      <w:r>
        <w:rPr>
          <w:noProof/>
        </w:rPr>
        <w:t>[60]</w:t>
      </w:r>
      <w:r>
        <w:fldChar w:fldCharType="end"/>
      </w:r>
      <w:r>
        <w:t xml:space="preserve"> with the Tucson, Arizona TMY3 weather file.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fldChar w:fldCharType="begin"/>
      </w:r>
      <w:r>
        <w:instrText xml:space="preserve"> REF _Ref_fig_e2a \h </w:instrText>
      </w:r>
      <w:r>
        <w:fldChar w:fldCharType="separate"/>
      </w:r>
      <w:r>
        <w:t>3</w:t>
      </w:r>
      <w:r>
        <w:fldChar w:fldCharType="end"/>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fldChar w:fldCharType="begin"/>
      </w:r>
      <w:r>
        <w:instrText xml:space="preserve"> REF _Ref_fig_e2a \h </w:instrText>
      </w:r>
      <w:r>
        <w:fldChar w:fldCharType="separate"/>
      </w:r>
      <w:r>
        <w:t>3</w:t>
      </w:r>
      <w:r>
        <w:fldChar w:fldCharType="end"/>
      </w:r>
      <w:r>
        <w:t xml:space="preserve">), no message covers the current producer interval yet. TIDE then holds the last complete interval and reports the missing coverage in the run’s alignment table, and errors of up to 5.9 % remain in both modes.</w:t>
      </w:r>
    </w:p>
    <w:p>
      <w:pPr>
        <w:pStyle w:val="Figure"/>
      </w:pPr>
      <w:r>
        <w:drawing>
          <wp:inline distT="0" distB="0" distL="0" distR="0">
            <wp:extent cx="4500000" cy="4242857"/>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4500000" cy="4242857"/>
                    </a:xfrm>
                    <a:prstGeom prst="rect">
                      <a:avLst/>
                    </a:prstGeom>
                  </pic:spPr>
                </pic:pic>
              </a:graphicData>
            </a:graphic>
          </wp:inline>
        </w:drawing>
      </w:r>
    </w:p>
    <w:p>
      <w:pPr>
        <w:pStyle w:val="Caption"/>
      </w:pPr>
      <w:r>
        <w:rPr>
          <w:b/>
          <w:bCs/>
        </w:rPr>
        <w:t xml:space="preserve">Fig. </w:t>
      </w:r>
      <w:bookmarkStart w:id="15" w:name="_Ref_fig_e2a"/>
      <w:r>
        <w:rPr>
          <w:b/>
          <w:bCs/>
        </w:rPr>
        <w:fldChar w:fldCharType="begin"/>
      </w:r>
      <w:r>
        <w:rPr>
          <w:b/>
          <w:bCs/>
        </w:rPr>
        <w:instrText xml:space="preserve"> SEQ Figure \* ARABIC </w:instrText>
      </w:r>
      <w:r>
        <w:rPr>
          <w:b/>
          <w:bCs/>
        </w:rPr>
        <w:fldChar w:fldCharType="separate"/>
      </w:r>
      <w:r>
        <w:rPr>
          <w:b/>
          <w:bCs/>
        </w:rPr>
        <w:t>3</w:t>
      </w:r>
      <w:r>
        <w:rPr>
          <w:b/>
          <w:bCs/>
        </w:rPr>
        <w:fldChar w:fldCharType="end"/>
      </w:r>
      <w:bookmarkEnd w:id="15"/>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Heading2"/>
      </w:pPr>
      <w:bookmarkStart w:id="16" w:name="_Ref_sec_e2b"/>
      <w:r>
        <w:t xml:space="preserve">Coupling error with EnergyPlus</w:t>
      </w:r>
      <w:bookmarkEnd w:id="16"/>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fldChar w:fldCharType="begin"/>
      </w:r>
      <w:r>
        <w:instrText xml:space="preserve"> REF _Ref_fig_e2b \h </w:instrText>
      </w:r>
      <w:r>
        <w:fldChar w:fldCharType="separate"/>
      </w:r>
      <w:r>
        <w:t>4</w:t>
      </w:r>
      <w:r>
        <w:fldChar w:fldCharType="end"/>
      </w:r>
      <w:r>
        <w:t xml:space="preserve"> 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fldChar w:fldCharType="begin"/>
      </w:r>
      <w:r>
        <w:instrText xml:space="preserve"> REF _Ref_fig_e2b \h </w:instrText>
      </w:r>
      <w:r>
        <w:fldChar w:fldCharType="separate"/>
      </w:r>
      <w:r>
        <w:t>4</w:t>
      </w:r>
      <w:r>
        <w:fldChar w:fldCharType="end"/>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759999" cy="2171214"/>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759999" cy="2171214"/>
                    </a:xfrm>
                    <a:prstGeom prst="rect">
                      <a:avLst/>
                    </a:prstGeom>
                  </pic:spPr>
                </pic:pic>
              </a:graphicData>
            </a:graphic>
          </wp:inline>
        </w:drawing>
      </w:r>
    </w:p>
    <w:p>
      <w:pPr>
        <w:pStyle w:val="Caption"/>
      </w:pPr>
      <w:r>
        <w:rPr>
          <w:b/>
          <w:bCs/>
        </w:rPr>
        <w:t xml:space="preserve">Fig. </w:t>
      </w:r>
      <w:bookmarkStart w:id="17" w:name="_Ref_fig_e2b"/>
      <w:r>
        <w:rPr>
          <w:b/>
          <w:bCs/>
        </w:rPr>
        <w:fldChar w:fldCharType="begin"/>
      </w:r>
      <w:r>
        <w:rPr>
          <w:b/>
          <w:bCs/>
        </w:rPr>
        <w:instrText xml:space="preserve"> SEQ Figure \* ARABIC </w:instrText>
      </w:r>
      <w:r>
        <w:rPr>
          <w:b/>
          <w:bCs/>
        </w:rPr>
        <w:fldChar w:fldCharType="separate"/>
      </w:r>
      <w:r>
        <w:rPr>
          <w:b/>
          <w:bCs/>
        </w:rPr>
        <w:t>4</w:t>
      </w:r>
      <w:r>
        <w:rPr>
          <w:b/>
          <w:bCs/>
        </w:rPr>
        <w:fldChar w:fldCharType="end"/>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fldChar w:fldCharType="begin"/>
      </w:r>
      <w:r>
        <w:instrText xml:space="preserve"> REF _Ref_fig_e3a \h </w:instrText>
      </w:r>
      <w:r>
        <w:fldChar w:fldCharType="separate"/>
      </w:r>
      <w:r>
        <w:t>5</w:t>
      </w:r>
      <w:r>
        <w:fldChar w:fldCharType="end"/>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fldChar w:fldCharType="begin"/>
      </w:r>
      <w:r>
        <w:instrText xml:space="preserve"> REF _Ref_fig_e3a \h </w:instrText>
      </w:r>
      <w:r>
        <w:fldChar w:fldCharType="separate"/>
      </w:r>
      <w:r>
        <w:t>5</w:t>
      </w:r>
      <w:r>
        <w:fldChar w:fldCharType="end"/>
      </w:r>
      <w:r>
        <w:t xml:space="preserve"> b). The replayed comparison answers a narrower question, the effect of the retrofit under identical decisions rather than under decisions that react to the retrofitted building, and the two should be reported for what they are.</w:t>
      </w:r>
    </w:p>
    <w:p>
      <w:pPr>
        <w:pStyle w:val="Figure"/>
      </w:pPr>
      <w:r>
        <w:drawing>
          <wp:inline distT="0" distB="0" distL="0" distR="0">
            <wp:extent cx="5400000" cy="1941217"/>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400000" cy="1941217"/>
                    </a:xfrm>
                    <a:prstGeom prst="rect">
                      <a:avLst/>
                    </a:prstGeom>
                  </pic:spPr>
                </pic:pic>
              </a:graphicData>
            </a:graphic>
          </wp:inline>
        </w:drawing>
      </w:r>
    </w:p>
    <w:p>
      <w:pPr>
        <w:pStyle w:val="Caption"/>
      </w:pPr>
      <w:r>
        <w:rPr>
          <w:b/>
          <w:bCs/>
        </w:rPr>
        <w:t xml:space="preserve">Fig. </w:t>
      </w:r>
      <w:bookmarkStart w:id="19" w:name="_Ref_fig_e3a"/>
      <w:r>
        <w:rPr>
          <w:b/>
          <w:bCs/>
        </w:rPr>
        <w:fldChar w:fldCharType="begin"/>
      </w:r>
      <w:r>
        <w:rPr>
          <w:b/>
          <w:bCs/>
        </w:rPr>
        <w:instrText xml:space="preserve"> SEQ Figure \* ARABIC </w:instrText>
      </w:r>
      <w:r>
        <w:rPr>
          <w:b/>
          <w:bCs/>
        </w:rPr>
        <w:fldChar w:fldCharType="separate"/>
      </w:r>
      <w:r>
        <w:rPr>
          <w:b/>
          <w:bCs/>
        </w:rPr>
        <w:t>5</w:t>
      </w:r>
      <w:r>
        <w:rPr>
          <w:b/>
          <w:bCs/>
        </w:rPr>
        <w:fldChar w:fldCharType="end"/>
      </w:r>
      <w:bookmarkEnd w:id="19"/>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Heading2"/>
      </w:pPr>
      <w:bookmarkStart w:id="20" w:name="_Ref_sec_e4"/>
      <w:r>
        <w:t xml:space="preserve">Slow AI components</w:t>
      </w:r>
      <w:bookmarkEnd w:id="20"/>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BodyText"/>
      </w:pPr>
      <w:r>
        <w:t xml:space="preserve">The wall-clock times are shown in </w:t>
      </w:r>
      <w:r>
        <w:t xml:space="preserve">Fig. </w:t>
      </w:r>
      <w:r>
        <w:fldChar w:fldCharType="begin"/>
      </w:r>
      <w:r>
        <w:instrText xml:space="preserve"> REF _Ref_fig_e4 \h </w:instrText>
      </w:r>
      <w:r>
        <w:fldChar w:fldCharType="separate"/>
      </w:r>
      <w:r>
        <w:t>6</w:t>
      </w:r>
      <w:r>
        <w:fldChar w:fldCharType="end"/>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060000" cy="2259140"/>
            <wp:effectExtent l="0" t="0" r="0" b="0"/>
            <wp:docPr id="6" name="Figure 6" descr="Wall-clock time of a two-day co-simulation of N EnergyPlus offices, each with an AI supervisor whose calls take 0.5 s (median), with blocking calls and with asynchronous delivery by TIDE (decision del"/>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060000" cy="2259140"/>
                    </a:xfrm>
                    <a:prstGeom prst="rect">
                      <a:avLst/>
                    </a:prstGeom>
                  </pic:spPr>
                </pic:pic>
              </a:graphicData>
            </a:graphic>
          </wp:inline>
        </w:drawing>
      </w:r>
    </w:p>
    <w:p>
      <w:pPr>
        <w:pStyle w:val="Caption"/>
      </w:pPr>
      <w:r>
        <w:rPr>
          <w:b/>
          <w:bCs/>
        </w:rPr>
        <w:t xml:space="preserve">Fig. </w:t>
      </w:r>
      <w:bookmarkStart w:id="21" w:name="_Ref_fig_e4"/>
      <w:r>
        <w:rPr>
          <w:b/>
          <w:bCs/>
        </w:rPr>
        <w:fldChar w:fldCharType="begin"/>
      </w:r>
      <w:r>
        <w:rPr>
          <w:b/>
          <w:bCs/>
        </w:rPr>
        <w:instrText xml:space="preserve"> SEQ Figure \* ARABIC </w:instrText>
      </w:r>
      <w:r>
        <w:rPr>
          <w:b/>
          <w:bCs/>
        </w:rPr>
        <w:fldChar w:fldCharType="separate"/>
      </w:r>
      <w:r>
        <w:rPr>
          <w:b/>
          <w:bCs/>
        </w:rPr>
        <w:t>6</w:t>
      </w:r>
      <w:r>
        <w:rPr>
          <w:b/>
          <w:bCs/>
        </w:rPr>
        <w:fldChar w:fldCharType="end"/>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fldChar w:fldCharType="begin"/>
      </w:r>
      <w:r>
        <w:instrText xml:space="preserve"> ADDIN EN.CITE &lt;EndNote&gt;&lt;Cite&gt;&lt;Author&gt;Hardy&lt;/Author&gt;&lt;Year&gt;2024&lt;/Year&gt;&lt;RecNum&gt;29&lt;/RecNum&gt;&lt;DisplayText&gt;[18]&lt;/DisplayText&gt;&lt;record&gt;&lt;rec-number&gt;29&lt;/rec-number&gt;&lt;foreign-keys&gt;&lt;key app="EN" db-id="mdae8500109496fea4aff9c086e16cc25895" timestamp="1793221649"&gt;29&lt;/key&gt;&lt;/foreign-keys&gt;&lt;ref-type name="Journal Article"&gt;17&lt;/ref-type&gt;&lt;contributors&gt;&lt;authors&gt;&lt;author&gt;Hardy, Trevor D.&lt;/author&gt;&lt;author&gt;Palmintier, Bryan&lt;/author&gt;&lt;author&gt;Top, Philip L.&lt;/author&gt;&lt;author&gt;Krishnamurthy, Dheepak&lt;/author&gt;&lt;author&gt;Fuller, Jason C.&lt;/author&gt;&lt;/authors&gt;&lt;/contributors&gt;&lt;titles&gt;&lt;title&gt;HELICS: A Co-Simulation Framework for Scalable Multi-Domain Modeling and Analysis&lt;/title&gt;&lt;secondary-title&gt;IEEE Access&lt;/secondary-title&gt;&lt;alt-title&gt;IEEE Access&lt;/alt-title&gt;&lt;/titles&gt;&lt;periodical&gt;&lt;full-title&gt;IEEE Access&lt;/full-title&gt;&lt;abbr-1&gt;IEEE Access&lt;/abbr-1&gt;&lt;/periodical&gt;&lt;pages&gt;24325-24347&lt;/pages&gt;&lt;volume&gt;12&lt;/volume&gt;&lt;dates&gt;&lt;year&gt;2024&lt;/year&gt;&lt;/dates&gt;&lt;publisher&gt;IEEE&lt;/publisher&gt;&lt;label&gt;hardy2024&lt;/label&gt;&lt;urls&gt;&lt;/urls&gt;&lt;electronic-resource-num&gt;10.1109/ACCESS.2024.3363615&lt;/electronic-resource-num&gt;&lt;/record&gt;&lt;/Cite&gt;&lt;/EndNote&gt;</w:instrText>
      </w:r>
      <w:r>
        <w:fldChar w:fldCharType="separate"/>
      </w:r>
      <w:r>
        <w:rPr>
          <w:noProof/>
        </w:rPr>
        <w:t>[18]</w:t>
      </w:r>
      <w:r>
        <w:fldChar w:fldCharType="end"/>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fldChar w:fldCharType="begin"/>
      </w:r>
      <w:r>
        <w:instrText xml:space="preserve"> REF _Ref_tbl_features \h </w:instrText>
      </w:r>
      <w:r>
        <w:fldChar w:fldCharType="separate"/>
      </w:r>
      <w:r>
        <w:t>1</w:t>
      </w:r>
      <w:r>
        <w:fldChar w:fldCharType="end"/>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fldChar w:fldCharType="begin"/>
      </w:r>
      <w:r>
        <w:instrText xml:space="preserve"> REF _Ref_fig_case \h </w:instrText>
      </w:r>
      <w:r>
        <w:fldChar w:fldCharType="separate"/>
      </w:r>
      <w:r>
        <w:t>7</w:t>
      </w:r>
      <w:r>
        <w:fldChar w:fldCharType="end"/>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Figure"/>
      </w:pPr>
      <w:r>
        <w:drawing>
          <wp:inline distT="0" distB="0" distL="0" distR="0">
            <wp:extent cx="5580000" cy="2195138"/>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580000" cy="2195138"/>
                    </a:xfrm>
                    <a:prstGeom prst="rect">
                      <a:avLst/>
                    </a:prstGeom>
                  </pic:spPr>
                </pic:pic>
              </a:graphicData>
            </a:graphic>
          </wp:inline>
        </w:drawing>
      </w:r>
    </w:p>
    <w:p>
      <w:pPr>
        <w:pStyle w:val="Caption"/>
      </w:pPr>
      <w:r>
        <w:rPr>
          <w:b/>
          <w:bCs/>
        </w:rPr>
        <w:t xml:space="preserve">Fig. </w:t>
      </w:r>
      <w:bookmarkStart w:id="25" w:name="_Ref_fig_case"/>
      <w:r>
        <w:rPr>
          <w:b/>
          <w:bCs/>
        </w:rPr>
        <w:fldChar w:fldCharType="begin"/>
      </w:r>
      <w:r>
        <w:rPr>
          <w:b/>
          <w:bCs/>
        </w:rPr>
        <w:instrText xml:space="preserve"> SEQ Figure \* ARABIC </w:instrText>
      </w:r>
      <w:r>
        <w:rPr>
          <w:b/>
          <w:bCs/>
        </w:rPr>
        <w:fldChar w:fldCharType="separate"/>
      </w:r>
      <w:r>
        <w:rPr>
          <w:b/>
          <w:bCs/>
        </w:rPr>
        <w:t>7</w:t>
      </w:r>
      <w:r>
        <w:rPr>
          <w:b/>
          <w:bCs/>
        </w:rPr>
        <w:fldChar w:fldCharType="end"/>
      </w:r>
      <w:bookmarkEnd w:id="25"/>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Heading1"/>
      </w:pPr>
      <w:bookmarkStart w:id="26" w:name="_Ref_sec_discussion"/>
      <w:r>
        <w:t xml:space="preserve">Discussion</w:t>
      </w:r>
      <w:bookmarkEnd w:id="26"/>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NzkzMjIxNjQ5Ij40Nzwva2V5PjwvZm9yZWlnbi1rZXlzPjxyZWYtdHlwZSBuYW1lPSJKb3VybmFs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OTQ5NmZlYTRhZmY5YzA4NmUxNmNjMjU4OTUiIHRpbWVzdGFtcD0iMTc5MzIyMTY0OSI+MjY8L2tl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NzkzMjIxNjQ5Ij40Nzwva2V5PjwvZm9yZWlnbi1rZXlzPjxyZWYtdHlwZSBuYW1lPSJKb3VybmFs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OTQ5NmZlYTRhZmY5YzA4NmUxNmNjMjU4OTUiIHRpbWVzdGFtcD0iMTc5MzIyMTY0OSI+MjY8L2tl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timestamp="1793221649"&gt;10&lt;/key&gt;&lt;/foreign-keys&gt;&lt;ref-type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NEPCE and power bonds address that error and are complementary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NzkzMjIxNjQ5Ij4zPC9rZXk+PC9mb3JlaWduLWtleXM+PHJlZi10eXBlIG5hbWU9IkNvbmZlcmVu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MDEwOTQ5NmZlYTRhZmY5YzA4NmUxNmNjMjU4OTUiIHRpbWVzdGFtcD0iMTc5MzIyMTY0OSI+NzE8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NzkzMjIxNjQ5Ij4zPC9rZXk+PC9mb3JlaWduLWtleXM+PHJlZi10eXBlIG5hbWU9IkNvbmZlcmVu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MDEwOTQ5NmZlYTRhZmY5YzA4NmUxNmNjMjU4OTUiIHRpbWVzdGFtcD0iMTc5MzIyMTY0OSI+NzE8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found that the EnergyPlus time step changed the weekly electricity use of the small office by up to 14 %, almost entirely through autosizing. The model sets the sizing load-averaging window as a number of time steps; with 60 steps per hour, the six-step window shrinks from 90 min to 6 min, catches the morning cool-down spike, and sizes the cooling coils and fans 65 % larger. With the window fixed in minutes, the time-step effect fell below 0.7 %.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CPU-bound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components exchange messages that state whether a value is an instantaneous sample, an interval average, an interval amount, a value held until replaced or an event, and over which interval it is valid; consumers state which window they need; and the time-aware hub, TIDE, aligns the data, flags its quality, records it for replay, traces its provenance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was exact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at https://github.com/lz356/Py-CoSim.</w:t>
      </w:r>
    </w:p>
    <w:p>
      <w:pPr>
        <w:pStyle w:val="HeadingUnnumbered"/>
      </w:pPr>
      <w:r>
        <w:t xml:space="preserve">Acknowledgements</w:t>
      </w:r>
    </w:p>
    <w:p>
      <w:pPr>
        <w:pStyle w:val="BodyText"/>
      </w:pPr>
      <w:r>
        <w:t xml:space="preserve">This material is based upon work supported by the U.S. National Science Foundation under Award No. 2623038, “GOALI: A Community-Driven Benchmarking Framework for Trustworthy Generative AI in Architecture, Engineering and Construction.” Any opinions, findings and conclusions or recommendations expressed in this material are those of the authors and do not necessarily reflect the views of the National Science Foundation.</w:t>
      </w:r>
    </w:p>
    <w:p>
      <w:pPr>
        <w:pStyle w:val="HeadingUnnumbered"/>
      </w:pPr>
      <w:r>
        <w:t xml:space="preserve">References</w:t>
      </w:r>
    </w:p>
    <w:p>
      <w:pPr>
        <w:pStyle w:val="EndNoteBibliography"/>
      </w:pPr>
      <w:r>
        <w:fldChar w:fldCharType="begin"/>
      </w:r>
      <w:r>
        <w:instrText xml:space="preserve"> ADDIN EN.REFLIST </w:instrText>
      </w:r>
      <w:r>
        <w:fldChar w:fldCharType="separate"/>
      </w:r>
      <w:r>
        <w:t xml:space="preserve">[1]</w:t>
        <w:tab/>
      </w:r>
      <w:r>
        <w:t xml:space="preserve">M. Neukomm, V. Nubbe, R. Fares, Grid-Interactive Efficient Buildings Technical Report Series: Overview of Research Challenges and Gaps, National Renewable Energy Laboratory, Golden, CO, 2019. https://doi.org/10.2172/1577966.</w:t>
      </w:r>
    </w:p>
    <w:p>
      <w:pPr>
        <w:pStyle w:val="EndNoteBibliography"/>
      </w:pPr>
      <w:r>
        <w:t xml:space="preserve">[2]</w:t>
        <w:tab/>
      </w:r>
      <w:r>
        <w:t xml:space="preserve">T. Hong, S.H. Lee, W. Zhang, H. Li, K. Sun, J. Kace, Informing electrification strategies of residential neighborhoods with urban building energy modeling, Build. Simul. 18 (2025) 3–18. https://doi.org/10.1007/s12273-024-1214-6.</w:t>
      </w:r>
    </w:p>
    <w:p>
      <w:pPr>
        <w:pStyle w:val="EndNoteBibliography"/>
      </w:pPr>
      <w:r>
        <w:t xml:space="preserve">[3]</w:t>
        <w:tab/>
      </w:r>
      <w:r>
        <w:t xml:space="preserve">Z. Wang, T. Hong, Reinforcement learning for building controls: The opportunities and challenges, Appl. Energy 269 (2020) 115036. https://doi.org/10.1016/j.apenergy.2020.115036.</w:t>
      </w:r>
    </w:p>
    <w:p>
      <w:pPr>
        <w:pStyle w:val="EndNoteBibliography"/>
      </w:pPr>
      <w:r>
        <w:t xml:space="preserve">[4]</w:t>
        <w:tab/>
      </w:r>
      <w:r>
        <w:t xml:space="preserve">K.U. Ahn, D.-W. Kim, H.M. Cho, C.-U. Chae, Alternative Approaches to HVAC Control of Chat Generative Pre-Trained Transformer (ChatGPT) for Autonomous Building System Operations, Buildings 13 (2023) 2680. https://doi.org/10.3390/buildings13112680.</w:t>
      </w:r>
    </w:p>
    <w:p>
      <w:pPr>
        <w:pStyle w:val="EndNoteBibliography"/>
      </w:pPr>
      <w:r>
        <w:t xml:space="preserve">[5]</w:t>
        <w:tab/>
      </w:r>
      <w:r>
        <w:t xml:space="preserve">L. Zhang, Z. Chen, Large language model-based interpretable machine learning control in building energy systems, Energy Build. 313 (2024) 114278. https://doi.org/10.1016/j.enbuild.2024.114278.</w:t>
      </w:r>
    </w:p>
    <w:p>
      <w:pPr>
        <w:pStyle w:val="EndNoteBibliography"/>
      </w:pPr>
      <w:r>
        <w:t xml:space="preserve">[6]</w:t>
        <w:tab/>
      </w:r>
      <w:r>
        <w:t xml:space="preserve">M. Liu, L. Zhang, J. Chen, W.-A. Chen, Z. Yang, L.J. Lo, J. Wen, Z. O'Neill, Large language models for building energy applications: Opportunities and challenges, Build. Simul. 18 (2025) 225–234. https://doi.org/10.1007/s12273-025-1235-9.</w:t>
      </w:r>
    </w:p>
    <w:p>
      <w:pPr>
        <w:pStyle w:val="EndNoteBibliography"/>
      </w:pPr>
      <w:r>
        <w:t xml:space="preserve">[7]</w:t>
        <w:tab/>
      </w:r>
      <w:r>
        <w:t xml:space="preserve">C. Gomes, C. Thule, D. Broman, P.G. Larsen, H. Vangheluwe, Co-Simulation: A Survey, ACM Comput. Surv. 51 (2018) 49. https://doi.org/10.1145/3179993.</w:t>
      </w:r>
    </w:p>
    <w:p>
      <w:pPr>
        <w:pStyle w:val="EndNoteBibliography"/>
      </w:pPr>
      <w:r>
        <w:t xml:space="preserve">[8]</w:t>
        <w:tab/>
      </w:r>
      <w:r>
        <w:t xml:space="preserve">T. Hong, J. Langevin, K. Sun, Building simulation: Ten challenges, Build. Simul. 11 (2018) 871–898. https://doi.org/10.1007/s12273-018-0444-x.</w:t>
      </w:r>
    </w:p>
    <w:p>
      <w:pPr>
        <w:pStyle w:val="EndNoteBibliography"/>
      </w:pPr>
      <w:r>
        <w:t xml:space="preserve">[9]</w:t>
        <w:tab/>
      </w:r>
      <w:r>
        <w:t xml:space="preserve">T. Blochwitz, M. Otter, M. Arnold, C. Bausch, C. Clauss, H. Elmqvist, A. Junghanns, J. Mauss, M. Monteiro, T. Neidhold, D. Neumerkel, H. Olsson, J.-V. Peetz, S. Wolf, The Functional Mockup Interface for Tool independent Exchange of Simulation Models, in: Proceedings of the 8th International Modelica Conference, Dresden, Germany, 2011, pp. 105–114. https://doi.org/10.3384/ecp11063105.</w:t>
      </w:r>
    </w:p>
    <w:p>
      <w:pPr>
        <w:pStyle w:val="EndNoteBibliography"/>
      </w:pPr>
      <w:r>
        <w:t xml:space="preserve">[10]</w:t>
        <w:tab/>
      </w:r>
      <w:r>
        <w:t xml:space="preserve">A. Junghanns, T. Blochwitz, C. Bertsch, T. Sommer, K. Wernersson, A. Pillekeit, I. Zacharias, M. Blesken, P.R. Mai, K. Schuch, C. Schulze, C. Gomes, M. Najafi, The Functional Mock-up Interface 3.0 – New Features Enabling New Applications, in: Proceedings of the 14th International Modelica Conference, Linköping, Sweden, 2021, pp. 17–26. https://doi.org/10.3384/ecp2118117.</w:t>
      </w:r>
    </w:p>
    <w:p>
      <w:pPr>
        <w:pStyle w:val="EndNoteBibliography"/>
      </w:pPr>
      <w:r>
        <w:t xml:space="preserve">[11]</w:t>
        <w:tab/>
      </w:r>
      <w:r>
        <w:t xml:space="preserve">M. Wetter, Co-simulation of building energy and control systems with the Building Controls Virtual Test Bed, J. Build. Perform. Simul. 4 (2011) 185–203. https://doi.org/10.1080/19401493.2010.518631.</w:t>
      </w:r>
    </w:p>
    <w:p>
      <w:pPr>
        <w:pStyle w:val="EndNoteBibliography"/>
      </w:pPr>
      <w:r>
        <w:t xml:space="preserve">[12]</w:t>
        <w:tab/>
      </w:r>
      <w:r>
        <w:t xml:space="preserve">T. Nouidui, M. Wetter, W. Zuo, Functional mock-up unit for co-simulation import in EnergyPlus, J. Build. Perform. Simul. 7 (2014) 192–202. https://doi.org/10.1080/19401493.2013.808265.</w:t>
      </w:r>
    </w:p>
    <w:p>
      <w:pPr>
        <w:pStyle w:val="EndNoteBibliography"/>
      </w:pPr>
      <w:r>
        <w:t xml:space="preserve">[13]</w:t>
        <w:tab/>
      </w:r>
      <w:r>
        <w:t xml:space="preserve">M. Wetter, K. Benne, A. Gautier, T.S. Nouidui, A. Ramle, A. Roth, H. Tummescheit, S. Mentzer, C. Winther, Lifting the Garage Door on Spawn, an Open-Source BEM-Controls Engine, in: Proceedings of SimBuild Conference 2020, ASHRAE/IBPSA-USA Building Simulation Conference, 2020. https://doi.org/10.26868/25746308.2020.C063.</w:t>
      </w:r>
    </w:p>
    <w:p>
      <w:pPr>
        <w:pStyle w:val="EndNoteBibliography"/>
      </w:pPr>
      <w:r>
        <w:t xml:space="preserve">[14]</w:t>
        <w:tab/>
      </w:r>
      <w:r>
        <w:t xml:space="preserve">J. Jiménez-Raboso, A. Campoy-Nieves, A. Manjavacas-Lucas, J. Gómez-Romero, M. Molina-Solana, Sinergym: A building simulation and control framework for training reinforcement learning agents, in: Proceedings of the 8th ACM International Conference on Systems for Energy-Efficient Buildings, Cities, and Transportation (BuildSys '21), Coimbra, Portugal, 2021, pp. 319–323. https://doi.org/10.1145/3486611.3488729.</w:t>
      </w:r>
    </w:p>
    <w:p>
      <w:pPr>
        <w:pStyle w:val="EndNoteBibliography"/>
      </w:pPr>
      <w:r>
        <w:t xml:space="preserve">[15]</w:t>
        <w:tab/>
      </w:r>
      <w:r>
        <w:t xml:space="preserve">T. Zhang, O. Ardakanian, COBS: COmprehensive Building Simulator, in: Proceedings of the 7th ACM International Conference on Systems for Energy-Efficient Buildings, Cities, and Transportation (BuildSys '20), Virtual Event, Japan, 2020, pp. 314–315. https://doi.org/10.1145/3408308.3431119.</w:t>
      </w:r>
    </w:p>
    <w:p>
      <w:pPr>
        <w:pStyle w:val="EndNoteBibliography"/>
      </w:pPr>
      <w:r>
        <w:t xml:space="preserve">[16]</w:t>
        <w:tab/>
      </w:r>
      <w:r>
        <w:t xml:space="preserve">D. Blum, J. Arroyo, S. Huang, J. Drgoňa, F. Jorissen, H.T. Walnum, Y. Chen, K. Benne, D. Vrabie, M. Wetter, L. Helsen, Building optimization testing framework (BOPTEST) for simulation-based benchmarking of control strategies in buildings, J. Build. Perform. Simul. 14 (2021) 586–610. https://doi.org/10.1080/19401493.2021.1986574.</w:t>
      </w:r>
    </w:p>
    <w:p>
      <w:pPr>
        <w:pStyle w:val="EndNoteBibliography"/>
      </w:pPr>
      <w:r>
        <w:t xml:space="preserve">[17]</w:t>
        <w:tab/>
      </w:r>
      <w:r>
        <w:t xml:space="preserve">B. Palmintier, D. Krishnamurthy, P. Top, S. Smith, J. Daily, J. Fuller, Design of the HELICS high-performance transmission-distribution-communication-market co-simulation framework, in: 2017 Workshop on Modeling and Simulation of Cyber-Physical Energy Systems (MSCPES), Pittsburgh, PA, USA, 2017, pp. 1–6. https://doi.org/10.1109/MSCPES.2017.8064542.</w:t>
      </w:r>
    </w:p>
    <w:p>
      <w:pPr>
        <w:pStyle w:val="EndNoteBibliography"/>
      </w:pPr>
      <w:r>
        <w:t xml:space="preserve">[18]</w:t>
        <w:tab/>
      </w:r>
      <w:r>
        <w:t xml:space="preserve">T.D. Hardy, B. Palmintier, P.L. Top, D. Krishnamurthy, J.C. Fuller, HELICS: A Co-Simulation Framework for Scalable Multi-Domain Modeling and Analysis, IEEE Access 12 (2024) 24325–24347. https://doi.org/10.1109/ACCESS.2024.3363615.</w:t>
      </w:r>
    </w:p>
    <w:p>
      <w:pPr>
        <w:pStyle w:val="EndNoteBibliography"/>
      </w:pPr>
      <w:r>
        <w:t xml:space="preserve">[19]</w:t>
        <w:tab/>
      </w:r>
      <w:r>
        <w:t xml:space="preserve">C. Steinbrink, M. Blank-Babazadeh, A. El-Ama, S. Holly, B. Lüers, M. Nebel-Wenner, R.P. Ramírez Acosta, T. Raub, J.S. Schwarz, S. Stark, A. Nieße, S. Lehnhoff, CPES Testing with mosaik: Co-Simulation Planning, Execution and Analysis, Appl. Sci. 9 (2019) 923. https://doi.org/10.3390/app9050923.</w:t>
      </w:r>
    </w:p>
    <w:p>
      <w:pPr>
        <w:pStyle w:val="EndNoteBibliography"/>
      </w:pPr>
      <w:r>
        <w:t xml:space="preserve">[20]</w:t>
        <w:tab/>
      </w:r>
      <w:r>
        <w:t xml:space="preserve">A. Ofenloch, J.S. Schwarz, D. Tolk, T. Brandt, R. Eilers, R. Ramirez, T. Raub, S. Lehnhoff, MOSAIK 3.0: Combining Time-Stepped and Discrete Event Simulation, in: 2022 Open Source Modelling and Simulation of Energy Systems (OSMSES), Aachen, Germany, 2022, pp. 1–5. https://doi.org/10.1109/OSMSES54027.2022.9769116.</w:t>
      </w:r>
    </w:p>
    <w:p>
      <w:pPr>
        <w:pStyle w:val="EndNoteBibliography"/>
      </w:pPr>
      <w:r>
        <w:t xml:space="preserve">[21]</w:t>
        <w:tab/>
      </w:r>
      <w:r>
        <w:t xml:space="preserve">U.S. Department of Energy, EnergyPlus Output Details and Examples: eplusout.rdd, version 24.1, 2024. https://bigladdersoftware.com/epx/docs/24-1/output-details-and-examples/eplusout-rdd.html (accessed 2026-10-28).</w:t>
      </w:r>
    </w:p>
    <w:p>
      <w:pPr>
        <w:pStyle w:val="EndNoteBibliography"/>
      </w:pPr>
      <w:r>
        <w:t xml:space="preserve">[22]</w:t>
        <w:tab/>
      </w:r>
      <w:r>
        <w:t xml:space="preserve">R. Kübler, W. Schiehlen, Two Methods of Simulator Coupling, Math. Comput. Model. Dyn. Syst. 6 (2000) 93–113. https://doi.org/10.1076/1387-3954(200006)6:2;1-M;FT093.</w:t>
      </w:r>
    </w:p>
    <w:p>
      <w:pPr>
        <w:pStyle w:val="EndNoteBibliography"/>
      </w:pPr>
      <w:r>
        <w:t xml:space="preserve">[23]</w:t>
        <w:tab/>
      </w:r>
      <w:r>
        <w:t xml:space="preserve">S. Tripakis, Bridging the semantic gap between heterogeneous modeling formalisms and FMI, in: 2015 International Conference on Embedded Computer Systems: Architectures, Modeling, and Simulation (SAMOS), Samos, Greece, 2015, pp. 60–69. https://doi.org/10.1109/SAMOS.2015.7363660.</w:t>
      </w:r>
    </w:p>
    <w:p>
      <w:pPr>
        <w:pStyle w:val="EndNoteBibliography"/>
      </w:pPr>
      <w:r>
        <w:t xml:space="preserve">[24]</w:t>
        <w:tab/>
      </w:r>
      <w:r>
        <w:t xml:space="preserve">C. Gomes, B. Meyers, J. Denil, C. Thule, K. Lausdahl, H. Vangheluwe, P. De Meulenaere, Semantic adaptation for FMI co-simulation with hierarchical simulators, Simulation 95 (2019) 241–269. https://doi.org/10.1177/0037549718759775.</w:t>
      </w:r>
    </w:p>
    <w:p>
      <w:pPr>
        <w:pStyle w:val="EndNoteBibliography"/>
      </w:pPr>
      <w:r>
        <w:t xml:space="preserve">[25]</w:t>
        <w:tab/>
      </w:r>
      <w:r>
        <w:t xml:space="preserve">S. Ouyang, J.M. Zhang, M. Harman, M. Wang, An Empirical Study of the Non-Determinism of ChatGPT in Code Generation, ACM Trans. Softw. Eng. Methodol. 34 (2025) 1–28. https://doi.org/10.1145/3697010.</w:t>
      </w:r>
    </w:p>
    <w:p>
      <w:pPr>
        <w:pStyle w:val="EndNoteBibliography"/>
      </w:pPr>
      <w:r>
        <w:t xml:space="preserve">[26]</w:t>
        <w:tab/>
      </w:r>
      <w:r>
        <w:t xml:space="preserve">A. Neubauer, T. Hong, H. Li, M. Yu, A. Darbandi, Y. Fürst, M. Kriegel, Large Language Models for HVAC Operations in Building Energy Systems: A Critical Review of Methods, Applications, and Deployment Readiness, arXiv, 2026. https://doi.org/10.48550/arXiv.2609.05314.</w:t>
      </w:r>
    </w:p>
    <w:p>
      <w:pPr>
        <w:pStyle w:val="EndNoteBibliography"/>
      </w:pPr>
      <w:r>
        <w:t xml:space="preserve">[27]</w:t>
        <w:tab/>
      </w:r>
      <w:r>
        <w:t xml:space="preserve">P. Henderson, R. Islam, P. Bachman, J. Pineau, D. Precup, D. Meger, Deep Reinforcement Learning That Matters, in: Proceedings of the AAAI Conference on Artificial Intelligence, 2018, pp. 3207–3214. https://doi.org/10.1609/aaai.v32i1.11694.</w:t>
      </w:r>
    </w:p>
    <w:p>
      <w:pPr>
        <w:pStyle w:val="EndNoteBibliography"/>
      </w:pPr>
      <w:r>
        <w:t xml:space="preserve">[28]</w:t>
        <w:tab/>
      </w:r>
      <w:r>
        <w:t xml:space="preserve">Modelica Association, System Structure and Parameterization (SSP), Version 2.0, 2024. https://ssp-standard.org/docs/2.0/.</w:t>
      </w:r>
    </w:p>
    <w:p>
      <w:pPr>
        <w:pStyle w:val="EndNoteBibliography"/>
      </w:pPr>
      <w:r>
        <w:t xml:space="preserve">[29]</w:t>
        <w:tab/>
      </w:r>
      <w:r>
        <w:t xml:space="preserve">D. Broman, C. Brooks, L. Greenberg, E.A. Lee, M. Masin, S. Tripakis, M. Wetter, Determinate composition of FMUs for co-simulation, in: 2013 Proceedings of the International Conference on Embedded Software (EMSOFT), Montreal, QC, Canada, 2013, pp. 1–12. https://doi.org/10.1109/EMSOFT.2013.6658580.</w:t>
      </w:r>
    </w:p>
    <w:p>
      <w:pPr>
        <w:pStyle w:val="EndNoteBibliography"/>
      </w:pPr>
      <w:r>
        <w:t xml:space="preserve">[30]</w:t>
        <w:tab/>
      </w:r>
      <w:r>
        <w:t xml:space="preserve">M. Benedikt, D. Watzenig, J. Zehetner, A. Hofer, NEPCE – a nearly energy-preserving coupling element for weak-coupled problems and co-simulations, in: V International Conference on Computational Methods for Coupled Problems in Science and Engineering (COUPLED 2013), Santa Eulàlia, Ibiza, Spain, 2013, pp. 1021–1032.</w:t>
      </w:r>
    </w:p>
    <w:p>
      <w:pPr>
        <w:pStyle w:val="EndNoteBibliography"/>
      </w:pPr>
      <w:r>
        <w:t xml:space="preserve">[31]</w:t>
        <w:tab/>
      </w:r>
      <w:r>
        <w:t xml:space="preserve">S. Sadjina, L.T. Kyllingstad, S. Skjong, E. Pedersen, Energy conservation and power bonds in co-simulations: non-iterative adaptive step size control and error estimation, Eng. Comput. 33 (2017) 607–620. https://doi.org/10.1007/s00366-016-0492-8.</w:t>
      </w:r>
    </w:p>
    <w:p>
      <w:pPr>
        <w:pStyle w:val="EndNoteBibliography"/>
      </w:pPr>
      <w:r>
        <w:t xml:space="preserve">[32]</w:t>
        <w:tab/>
      </w:r>
      <w:r>
        <w:t xml:space="preserve">IEEE, IEEE Standard for Modeling and Simulation (M&amp;S) High Level Architecture (HLA) – Framework and Rules, IEEE Std 1516-2010, 2010. https://doi.org/10.1109/IEEESTD.2010.5553440.</w:t>
      </w:r>
    </w:p>
    <w:p>
      <w:pPr>
        <w:pStyle w:val="EndNoteBibliography"/>
      </w:pPr>
      <w:r>
        <w:t xml:space="preserve">[33]</w:t>
        <w:tab/>
      </w:r>
      <w:r>
        <w:t xml:space="preserve">R.M. Fujimoto, Parallel and Distributed Simulation Systems, John Wiley &amp; Sons, 2000.</w:t>
      </w:r>
    </w:p>
    <w:p>
      <w:pPr>
        <w:pStyle w:val="EndNoteBibliography"/>
      </w:pPr>
      <w:r>
        <w:t xml:space="preserve">[34]</w:t>
        <w:tab/>
      </w:r>
      <w:r>
        <w:t xml:space="preserve">HELICS developers (GMLC-TDC), HELICS documentation, 2026. https://docs.helics.org/en/latest/ (accessed 2026-10-28).</w:t>
      </w:r>
    </w:p>
    <w:p>
      <w:pPr>
        <w:pStyle w:val="EndNoteBibliography"/>
      </w:pPr>
      <w:r>
        <w:t xml:space="preserve">[35]</w:t>
        <w:tab/>
      </w:r>
      <w:r>
        <w:t xml:space="preserve">OFFIS, mosaik documentation, version 3.5.0, 2025. https://mosaik.readthedocs.io/en/3.5.0/ (accessed 2026-10-28).</w:t>
      </w:r>
    </w:p>
    <w:p>
      <w:pPr>
        <w:pStyle w:val="EndNoteBibliography"/>
      </w:pPr>
      <w:r>
        <w:t xml:space="preserve">[36]</w:t>
        <w:tab/>
      </w:r>
      <w:r>
        <w:t xml:space="preserve">J. Wen, L. Jiang, Y. Chen, C.-C. Chu, J. Zhu, Z. Qiu, Design of Data Distributed Service-Based Distributed Co-Simulation Platform of Power Systems, IEEE Trans. Ind. Appl. 60 (2024) 8115–8127. https://doi.org/10.1109/TIA.2024.3429466.</w:t>
      </w:r>
    </w:p>
    <w:p>
      <w:pPr>
        <w:pStyle w:val="EndNoteBibliography"/>
      </w:pPr>
      <w:r>
        <w:t xml:space="preserve">[37]</w:t>
        <w:tab/>
      </w:r>
      <w:r>
        <w:t xml:space="preserve">V. Paduani, R. Kadavil, H. Hooshyar, A. Haddadi, A.H.M. Jakaria, A. Huque, Real-Time T&amp;D Co-Simulation for Testing Grid Impact of High DER Participation, in: 2023 IEEE PES Grid Edge Technologies Conference &amp; Exposition (Grid Edge), San Diego, CA, USA, 2023, pp. 1–5. https://doi.org/10.1109/GridEdge54130.2023.10102714.</w:t>
      </w:r>
    </w:p>
    <w:p>
      <w:pPr>
        <w:pStyle w:val="EndNoteBibliography"/>
      </w:pPr>
      <w:r>
        <w:t xml:space="preserve">[38]</w:t>
        <w:tab/>
      </w:r>
      <w:r>
        <w:t xml:space="preserve">S. Katipamula, J. Haack, G. Hernandez, B. Akyol, J. Hagerman, VOLTTRON: An Open-Source Software Platform of the Future, IEEE Electrif. Mag. 4 (2016) 15–22. https://doi.org/10.1109/MELE.2016.2614178.</w:t>
      </w:r>
    </w:p>
    <w:p>
      <w:pPr>
        <w:pStyle w:val="EndNoteBibliography"/>
      </w:pPr>
      <w:r>
        <w:t xml:space="preserve">[39]</w:t>
        <w:tab/>
      </w:r>
      <w:r>
        <w:t xml:space="preserve">U.S. Department of Energy, EnergyPlus External Interface(s) Application Guide: BCVTB Examples, version 9.0, 2018. https://bigladdersoftware.com/epx/docs/9-0/external-interfaces-application-guide/bcvtb-examples.html (accessed 2026-10-28).</w:t>
      </w:r>
    </w:p>
    <w:p>
      <w:pPr>
        <w:pStyle w:val="EndNoteBibliography"/>
      </w:pPr>
      <w:r>
        <w:t xml:space="preserve">[40]</w:t>
        <w:tab/>
      </w:r>
      <w:r>
        <w:t xml:space="preserve">Lawrence Berkeley National Laboratory, FMU Export of EnergyPlus User Guide, Section 5: Usage of EnergyPlus as an FMU, 2021. https://simulationresearch.lbl.gov/fmu/EnergyPlus/export/userGuide/usage.html (accessed 2026-10-28).</w:t>
      </w:r>
    </w:p>
    <w:p>
      <w:pPr>
        <w:pStyle w:val="EndNoteBibliography"/>
      </w:pPr>
      <w:r>
        <w:t xml:space="preserve">[41]</w:t>
        <w:tab/>
      </w:r>
      <w:r>
        <w:t xml:space="preserve">U.S. Department of Energy, EnergyPlus Input Output Reference: Group – Python Plugins / Python EMS, version 22.2, 2022. https://bigladdersoftware.com/epx/docs/22-2/input-output-reference/group-python-plugins.html (accessed 2026-10-28).</w:t>
      </w:r>
    </w:p>
    <w:p>
      <w:pPr>
        <w:pStyle w:val="EndNoteBibliography"/>
      </w:pPr>
      <w:r>
        <w:t xml:space="preserve">[42]</w:t>
        <w:tab/>
      </w:r>
      <w:r>
        <w:t xml:space="preserve">A. Campoy-Nieves, A. Manjavacas, J. Jiménez-Raboso, M. Molina-Solana, J. Gómez-Romero, Sinergym – A virtual testbed for building energy optimization with Reinforcement Learning, Energy Build. 327 (2025) 115075. https://doi.org/10.1016/j.enbuild.2024.115075.</w:t>
      </w:r>
    </w:p>
    <w:p>
      <w:pPr>
        <w:pStyle w:val="EndNoteBibliography"/>
      </w:pPr>
      <w:r>
        <w:t xml:space="preserve">[43]</w:t>
        <w:tab/>
      </w:r>
      <w:r>
        <w:t xml:space="preserve">P. Scharnhorst, B. Schubnel, C. Fernández Bandera, J. Salom, P. Taddeo, M. Boegli, T. Gorecki, Y. Stauffer, A. Peppas, C. Politi, Energym: A Building Model Library for Controller Benchmarking, Appl. Sci. 11 (2021) 3518. https://doi.org/10.3390/app11083518.</w:t>
      </w:r>
    </w:p>
    <w:p>
      <w:pPr>
        <w:pStyle w:val="EndNoteBibliography"/>
      </w:pPr>
      <w:r>
        <w:t xml:space="preserve">[44]</w:t>
        <w:tab/>
      </w:r>
      <w:r>
        <w:t xml:space="preserve">K. Nweye, K. Kaspar, G. Buscemi, T. Fonseca, G. Pinto, D. Ghose, S. Duddukuru, P. Pratapa, H. Li, J. Mohammadi, L. Lino Ferreira, T. Hong, M. Ouf, A. Capozzoli, Z. Nagy, CityLearn v2: energy-flexible, resilient, occupant-centric, and carbon-aware management of grid-interactive communities, J. Build. Perform. Simul. 18 (2025) 17–38. https://doi.org/10.1080/19401493.2024.2418813.</w:t>
      </w:r>
    </w:p>
    <w:p>
      <w:pPr>
        <w:pStyle w:val="EndNoteBibliography"/>
      </w:pPr>
      <w:r>
        <w:t xml:space="preserve">[45]</w:t>
        <w:tab/>
      </w:r>
      <w:r>
        <w:t xml:space="preserve">K. Benne, T. Shapinsky, A. Petersen, Alfalfa Virtual Building Service: Software Engineering Best Practices Applied to Runtime Interaction with Building Energy Models, IBPSA-USA SimBuild 2024 Conference, Denver, Colorado, 21–23 May 2024, National Renewable Energy Laboratory, Golden, CO, 2024. https://www.osti.gov/biblio/2407013.</w:t>
      </w:r>
    </w:p>
    <w:p>
      <w:pPr>
        <w:pStyle w:val="EndNoteBibliography"/>
      </w:pPr>
      <w:r>
        <w:t xml:space="preserve">[46]</w:t>
        <w:tab/>
      </w:r>
      <w:r>
        <w:t xml:space="preserve">T. Sawada, M. Mizuno, T. Hasegawa, K. Yokoyama, M. Kono, Office-in-the-Loop: an investigation into Agentic AI for advanced building HVAC control systems, Data-Centric Eng. 6 (2025) e31. https://doi.org/10.1017/dce.2025.10010.</w:t>
      </w:r>
    </w:p>
    <w:p>
      <w:pPr>
        <w:pStyle w:val="EndNoteBibliography"/>
      </w:pPr>
      <w:r>
        <w:t xml:space="preserve">[47]</w:t>
        <w:tab/>
      </w:r>
      <w:r>
        <w:t xml:space="preserve">G. Jiang, Z. Ma, L. Zhang, J. Chen, EPlus-LLM: A large language model-based computing platform for automated building energy modeling, Appl. Energy 367 (2024) 123431. https://doi.org/10.1016/j.apenergy.2024.123431.</w:t>
      </w:r>
    </w:p>
    <w:p>
      <w:pPr>
        <w:pStyle w:val="EndNoteBibliography"/>
      </w:pPr>
      <w:r>
        <w:t xml:space="preserve">[48]</w:t>
        <w:tab/>
      </w:r>
      <w:r>
        <w:t xml:space="preserve">B. Eaton, J. Gregory, B. Drach, K. Taylor, S. Hankin, J. Blower, J. Caron, R. Signell, P. Bentley, G. Rappa, H. Höck, A. Pamment, M. Juckes, M. Raspaud, R. Horne, T. Whiteaker, D. Blodgett, C. Zender, D. Lee, D. Hassell, A.D. Snow, T. Kölling, D. Allured, A. Jelenak, A. Meier Soerensen, L. Gaultier, S. Herlédan, F. Manzano, L. Bärring, C. Barker, S. Bartholomew, NetCDF Climate and Forecast (CF) Metadata Conventions, version 1.11, 2023. https://cfconventions.org/Data/cf-conventions/cf-conventions-1.11/cf-conventions.html (accessed 2026-10-28).</w:t>
      </w:r>
    </w:p>
    <w:p>
      <w:pPr>
        <w:pStyle w:val="EndNoteBibliography"/>
      </w:pPr>
      <w:r>
        <w:t xml:space="preserve">[49]</w:t>
        <w:tab/>
      </w:r>
      <w:r>
        <w:t xml:space="preserve">Open Geospatial Consortium, OGC WaterML 2.0: Part 1 – Timeseries, Version 2.0.1, OGC 10-126r4, 2014. https://docs.ogc.org/is/10-126r4/10-126r4.pdf.</w:t>
      </w:r>
    </w:p>
    <w:p>
      <w:pPr>
        <w:pStyle w:val="EndNoteBibliography"/>
      </w:pPr>
      <w:r>
        <w:t xml:space="preserve">[50]</w:t>
        <w:tab/>
      </w:r>
      <w:r>
        <w:t xml:space="preserve">OPC Foundation, OPC Unified Architecture – Part 8: Data Access, OPC 10000-8, Release 1.05.07, 2026. https://reference.opcfoundation.org/specs/OPC-10000-8.</w:t>
      </w:r>
    </w:p>
    <w:p>
      <w:pPr>
        <w:pStyle w:val="EndNoteBibliography"/>
      </w:pPr>
      <w:r>
        <w:t xml:space="preserve">[51]</w:t>
        <w:tab/>
      </w:r>
      <w:r>
        <w:t xml:space="preserve">L. Moreau, P. Missier, PROV-DM: The PROV Data Model, W3C Recommendation, World Wide Web Consortium (W3C), 2013. https://www.w3.org/TR/2013/REC-prov-dm-20130430/.</w:t>
      </w:r>
    </w:p>
    <w:p>
      <w:pPr>
        <w:pStyle w:val="EndNoteBibliography"/>
      </w:pPr>
      <w:r>
        <w:t xml:space="preserve">[52]</w:t>
        <w:tab/>
      </w:r>
      <w:r>
        <w:t xml:space="preserve">Y. Chen, S. Zhang, Q. Guo, L. Li, R. Wu, T. Chen, Deterministic Replay: A Survey, ACM Comput. Surv. 48 (2015) 1–47. https://doi.org/10.1145/2790077.</w:t>
      </w:r>
    </w:p>
    <w:p>
      <w:pPr>
        <w:pStyle w:val="EndNoteBibliography"/>
      </w:pPr>
      <w:r>
        <w:t xml:space="preserve">[53]</w:t>
        <w:tab/>
      </w:r>
      <w:r>
        <w:t xml:space="preserve">E. Feng, W. Zhou, Z. Liu, L. Chen, Y. Dong, C. Zhang, Y. Zhao, D. Du, Z. Hua, Y. Xia, H. Chen, Get Experience from Practice: LLM Agents with Record &amp; Replay, arXiv, 2025. https://doi.org/10.48550/arXiv.2505.17716.</w:t>
      </w:r>
    </w:p>
    <w:p>
      <w:pPr>
        <w:pStyle w:val="EndNoteBibliography"/>
      </w:pPr>
      <w:r>
        <w:t xml:space="preserve">[54]</w:t>
        <w:tab/>
      </w:r>
      <w:r>
        <w:t xml:space="preserve">T.A. Henzinger, B. Horowitz, C.M. Kirsch, Giotto: a time-triggered language for embedded programming, Proc. IEEE 91 (2003) 84–99. https://doi.org/10.1109/JPROC.2002.805825.</w:t>
      </w:r>
    </w:p>
    <w:p>
      <w:pPr>
        <w:pStyle w:val="EndNoteBibliography"/>
      </w:pPr>
      <w:r>
        <w:t xml:space="preserve">[55]</w:t>
        <w:tab/>
      </w:r>
      <w:r>
        <w:t xml:space="preserve">M. Lohstroh, C. Menard, S. Bateni, E.A. Lee, Toward a Lingua Franca for Deterministic Concurrent Systems, ACM Trans. Embed. Comput. Syst. 20 (2021) 1–27. https://doi.org/10.1145/3448128.</w:t>
      </w:r>
    </w:p>
    <w:p>
      <w:pPr>
        <w:pStyle w:val="EndNoteBibliography"/>
      </w:pPr>
      <w:r>
        <w:t xml:space="preserve">[56]</w:t>
        <w:tab/>
      </w:r>
      <w:r>
        <w:t xml:space="preserve">International Electrotechnical Commission, Communication networks and systems for power utility automation – Part 7-3: Basic communication structure – Common data classes, IEC 61850-7-3:2010, Edition 2.0, 2010. https://webstore.iec.ch/en/publication/6016.</w:t>
      </w:r>
    </w:p>
    <w:p>
      <w:pPr>
        <w:pStyle w:val="EndNoteBibliography"/>
      </w:pPr>
      <w:r>
        <w:t xml:space="preserve">[57]</w:t>
        <w:tab/>
      </w:r>
      <w:r>
        <w:t xml:space="preserve">A.P. Dobos, PVWatts Version 5 Manual, National Renewable Energy Laboratory, Golden, CO, 2014. https://doi.org/10.2172/1158421.</w:t>
      </w:r>
    </w:p>
    <w:p>
      <w:pPr>
        <w:pStyle w:val="EndNoteBibliography"/>
      </w:pPr>
      <w:r>
        <w:t xml:space="preserve">[58]</w:t>
        <w:tab/>
      </w:r>
      <w:r>
        <w:t xml:space="preserve">Federal Highway Administration, 2017 National Household Travel Survey, 2017. https://nhts.ornl.gov (accessed 2026-10-28).</w:t>
      </w:r>
    </w:p>
    <w:p>
      <w:pPr>
        <w:pStyle w:val="EndNoteBibliography"/>
      </w:pPr>
      <w:r>
        <w:t xml:space="preserve">[59]</w:t>
        <w:tab/>
      </w:r>
      <w:r>
        <w:t xml:space="preserve">D.B. Crawley, L.K. Lawrie, F.C. Winkelmann, W.F. Buhl, Y.J. Huang, C.O. Pedersen, R.K. Strand, R.J. Liesen, D.E. Fisher, M.J. Witte, J. Glazer, EnergyPlus: creating a new-generation building energy simulation program, Energy Build. 33 (2001) 319–331. https://doi.org/10.1016/S0378-7788(00)00114-6.</w:t>
      </w:r>
    </w:p>
    <w:p>
      <w:pPr>
        <w:pStyle w:val="EndNoteBibliography"/>
      </w:pPr>
      <w:r>
        <w:t xml:space="preserve">[60]</w:t>
        <w:tab/>
      </w:r>
      <w:r>
        <w:t xml:space="preserve">M. Deru, K. Field, D. Studer, K. Benne, B. Griffith, P. Torcellini, B. Liu, M. Halverson, D. Winiarski, M. Rosenberg, M. Yazdanian, J. Huang, D. Crawley, U.S. Department of Energy Commercial Reference Building Models of the National Building Stock, National Renewable Energy Laboratory, Golden, CO, 2011. https://doi.org/10.2172/1009264.</w:t>
      </w:r>
      <w:r>
        <w:fldChar w:fldCharType="end"/>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0" Type="http://schemas.openxmlformats.org/officeDocument/2006/relationships/hyperlink" Target="mailto:liangzhang1@arizona.edu"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Liang Zhang</dc:creator>
  <cp:lastModifiedBy>Liang Zhang</cp:lastModifiedBy>
  <dcterms:created xsi:type="dcterms:W3CDTF">2026-10-28T21:07:29Z</dcterms:created>
  <dcterms:modified xsi:type="dcterms:W3CDTF">2026-10-28T21:07:29Z</dcterms:modified>
</cp:coreProperties>
</file>