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val="0"/>
        <w:widowControl/>
        <w:spacing w:before="0" w:after="100" w:lineRule="exact" w:line="440"/>
        <w:jc w:val="center"/>
      </w:pPr>
      <w:r>
        <w:rPr>
          <w:rFonts w:ascii="Times New Roman" w:hAnsi="Times New Roman" w:eastAsia="Times New Roman"/>
          <w:b w:val="0"/>
          <w:i w:val="0"/>
          <w:caps w:val="0"/>
          <w:sz w:val="38"/>
        </w:rPr>
        <w:t>Fine-Tuning NLLB-200 for English-to-Venetian Translation: A Low-Resource Case Study</w:t>
      </w:r>
    </w:p>
    <w:p>
      <w:pPr>
        <w:keepNext/>
        <w:keepLines w:val="0"/>
        <w:widowControl/>
        <w:spacing w:before="0" w:after="40" w:lineRule="exact" w:line="240"/>
        <w:jc w:val="center"/>
      </w:pPr>
      <w:r>
        <w:rPr>
          <w:rFonts w:ascii="Times New Roman" w:hAnsi="Times New Roman" w:eastAsia="Times New Roman"/>
          <w:b w:val="0"/>
          <w:i w:val="0"/>
          <w:caps w:val="0"/>
          <w:sz w:val="19"/>
        </w:rPr>
        <w:t>Massimo Costantini</w:t>
      </w:r>
      <w:r>
        <w:rPr>
          <w:rFonts w:ascii="Times New Roman" w:hAnsi="Times New Roman" w:eastAsia="Times New Roman"/>
          <w:b w:val="0"/>
          <w:i w:val="0"/>
          <w:caps w:val="0"/>
          <w:sz w:val="14"/>
          <w:vertAlign w:val="superscript"/>
        </w:rPr>
        <w:t>1</w:t>
      </w:r>
      <w:r>
        <w:rPr>
          <w:rFonts w:ascii="Times New Roman" w:hAnsi="Times New Roman" w:eastAsia="Times New Roman"/>
          <w:b w:val="0"/>
          <w:i w:val="0"/>
          <w:caps w:val="0"/>
          <w:sz w:val="19"/>
        </w:rPr>
        <w:t xml:space="preserve">     </w:t>
      </w:r>
      <w:r>
        <w:rPr>
          <w:rFonts w:ascii="Times New Roman" w:hAnsi="Times New Roman" w:eastAsia="Times New Roman"/>
          <w:b w:val="0"/>
          <w:i w:val="0"/>
          <w:caps w:val="0"/>
          <w:sz w:val="19"/>
        </w:rPr>
        <w:t>Linda Zampieri</w:t>
      </w:r>
      <w:r>
        <w:rPr>
          <w:rFonts w:ascii="Times New Roman" w:hAnsi="Times New Roman" w:eastAsia="Times New Roman"/>
          <w:b w:val="0"/>
          <w:i w:val="0"/>
          <w:caps w:val="0"/>
          <w:sz w:val="14"/>
          <w:vertAlign w:val="superscript"/>
        </w:rPr>
        <w:t>2</w:t>
      </w:r>
      <w:r>
        <w:rPr>
          <w:rFonts w:ascii="Times New Roman" w:hAnsi="Times New Roman" w:eastAsia="Times New Roman"/>
          <w:b w:val="0"/>
          <w:i w:val="0"/>
          <w:caps w:val="0"/>
          <w:sz w:val="19"/>
        </w:rPr>
        <w:t xml:space="preserve">     </w:t>
      </w:r>
      <w:r>
        <w:rPr>
          <w:rFonts w:ascii="Times New Roman" w:hAnsi="Times New Roman" w:eastAsia="Times New Roman"/>
          <w:b w:val="0"/>
          <w:i w:val="0"/>
          <w:caps w:val="0"/>
          <w:sz w:val="19"/>
        </w:rPr>
        <w:t>Elena Rozera</w:t>
      </w:r>
      <w:r>
        <w:rPr>
          <w:rFonts w:ascii="Times New Roman" w:hAnsi="Times New Roman" w:eastAsia="Times New Roman"/>
          <w:b w:val="0"/>
          <w:i w:val="0"/>
          <w:caps w:val="0"/>
          <w:sz w:val="14"/>
          <w:vertAlign w:val="superscript"/>
        </w:rPr>
        <w:t>3</w:t>
      </w:r>
      <w:r>
        <w:rPr>
          <w:rFonts w:ascii="Times New Roman" w:hAnsi="Times New Roman" w:eastAsia="Times New Roman"/>
          <w:b w:val="0"/>
          <w:i w:val="0"/>
          <w:caps w:val="0"/>
          <w:sz w:val="19"/>
        </w:rPr>
        <w:t xml:space="preserve">     </w:t>
      </w:r>
      <w:r>
        <w:rPr>
          <w:rFonts w:ascii="Times New Roman" w:hAnsi="Times New Roman" w:eastAsia="Times New Roman"/>
          <w:b w:val="0"/>
          <w:i w:val="0"/>
          <w:caps w:val="0"/>
          <w:sz w:val="19"/>
        </w:rPr>
        <w:t>Leckraj Nagowah</w:t>
      </w:r>
      <w:r>
        <w:rPr>
          <w:rFonts w:ascii="Times New Roman" w:hAnsi="Times New Roman" w:eastAsia="Times New Roman"/>
          <w:b w:val="0"/>
          <w:i w:val="0"/>
          <w:caps w:val="0"/>
          <w:sz w:val="14"/>
          <w:vertAlign w:val="superscript"/>
        </w:rPr>
        <w:t>4</w:t>
      </w:r>
    </w:p>
    <w:p>
      <w:pPr>
        <w:keepNext/>
        <w:keepLines w:val="0"/>
        <w:widowControl/>
        <w:spacing w:before="0" w:after="0" w:lineRule="exact" w:line="180"/>
        <w:jc w:val="center"/>
      </w:pPr>
      <w:r>
        <w:rPr>
          <w:rFonts w:ascii="Times New Roman" w:hAnsi="Times New Roman" w:eastAsia="Times New Roman"/>
          <w:b w:val="0"/>
          <w:i/>
          <w:caps w:val="0"/>
          <w:sz w:val="16"/>
        </w:rPr>
        <w:t>1 INAF - Osservatorio Astronomico di Trieste (OATs)</w:t>
      </w:r>
    </w:p>
    <w:p>
      <w:pPr>
        <w:keepNext/>
        <w:keepLines w:val="0"/>
        <w:widowControl/>
        <w:spacing w:before="0" w:after="0" w:lineRule="exact" w:line="180"/>
        <w:jc w:val="center"/>
      </w:pPr>
      <w:r>
        <w:rPr>
          <w:rFonts w:ascii="Times New Roman" w:hAnsi="Times New Roman" w:eastAsia="Times New Roman"/>
          <w:b w:val="0"/>
          <w:i/>
          <w:caps w:val="0"/>
          <w:sz w:val="16"/>
        </w:rPr>
        <w:t>2 University of Verona</w:t>
      </w:r>
    </w:p>
    <w:p>
      <w:pPr>
        <w:keepNext/>
        <w:keepLines w:val="0"/>
        <w:widowControl/>
        <w:spacing w:before="0" w:after="0" w:lineRule="exact" w:line="180"/>
        <w:jc w:val="center"/>
      </w:pPr>
      <w:r>
        <w:rPr>
          <w:rFonts w:ascii="Times New Roman" w:hAnsi="Times New Roman" w:eastAsia="Times New Roman"/>
          <w:b w:val="0"/>
          <w:i/>
          <w:caps w:val="0"/>
          <w:sz w:val="16"/>
        </w:rPr>
        <w:t>3 Université Paris 8 / École supérieure d’ingénieurs Léonard-de-Vinci (ESILV)</w:t>
      </w:r>
    </w:p>
    <w:p>
      <w:pPr>
        <w:keepNext/>
        <w:keepLines w:val="0"/>
        <w:widowControl/>
        <w:spacing w:before="0" w:after="80" w:lineRule="exact" w:line="180"/>
        <w:jc w:val="center"/>
      </w:pPr>
      <w:r>
        <w:rPr>
          <w:rFonts w:ascii="Times New Roman" w:hAnsi="Times New Roman" w:eastAsia="Times New Roman"/>
          <w:b w:val="0"/>
          <w:i/>
          <w:caps w:val="0"/>
          <w:sz w:val="16"/>
        </w:rPr>
        <w:t>4 University of Mauritius / University of Witwatersrand / University of Edinburgh</w:t>
      </w:r>
    </w:p>
    <w:p>
      <w:pPr>
        <w:keepNext/>
        <w:keepLines w:val="0"/>
        <w:widowControl/>
        <w:spacing w:before="0" w:after="40" w:lineRule="exact" w:line="194"/>
        <w:jc w:val="both"/>
      </w:pPr>
      <w:r>
        <w:rPr>
          <w:rFonts w:ascii="Times New Roman" w:hAnsi="Times New Roman"/>
          <w:b/>
          <w:i/>
          <w:sz w:val="17"/>
        </w:rPr>
        <w:t>Abstract—</w:t>
      </w:r>
      <w:r>
        <w:rPr>
          <w:rFonts w:ascii="Times New Roman" w:hAnsi="Times New Roman"/>
          <w:i/>
          <w:sz w:val="17"/>
        </w:rPr>
        <w:t>This extended abstract studies NLLB-200 adaptation for English-to-Venetian machine translation under severe data scarcity. An expanded 653-pair training corpus was assembled from curated manual material and Wikipedia-derived candidates; 82-sentence development and test sets came from a FLORES-derived pool. Conservative normalization addressed orthographic and lexical variation. We compare the NLLB-200 distilled 600M model in zero-shot and fine-tuned settings with a general-purpose LLM zero-shot baseline. Evaluation combines BLEU, chrF, and manual ratings on a 1–5 scale for every test output. NLLB zero-shot scored 15.89 BLEU, 49.97 chrF, and 3.43 in mean human rating; the LLM reached 16.43, 49.74, and 3.61; and fine-tuned NLLB achieved 16.07, 51.50, and 3.57. Fine-tuning improves the NLLB baseline by 0.18 BLEU, 1.53 chrF, and 0.14 human-rating points; the LLM leads on BLEU and human rating, while fine-tuned NLLB leads on chrF. The results show measurable adaptation gains while highlighting domain mismatch, orthographic variation, and single-reference limitations.</w:t>
      </w:r>
    </w:p>
    <w:p>
      <w:pPr>
        <w:keepNext/>
        <w:keepLines w:val="0"/>
        <w:widowControl/>
        <w:spacing w:before="0" w:after="60" w:lineRule="exact" w:line="190"/>
        <w:jc w:val="left"/>
      </w:pPr>
      <w:r>
        <w:rPr>
          <w:rFonts w:ascii="Times New Roman" w:hAnsi="Times New Roman"/>
          <w:b/>
          <w:i/>
          <w:sz w:val="17"/>
        </w:rPr>
        <w:t>Keywords—</w:t>
      </w:r>
      <w:r>
        <w:rPr>
          <w:rFonts w:ascii="Times New Roman" w:hAnsi="Times New Roman"/>
          <w:b w:val="0"/>
          <w:i/>
          <w:sz w:val="17"/>
        </w:rPr>
        <w:t>low-resource machine translation, Venetian, NLLB-200, fine-tuning, large language models, BLEU, chrF, human evaluation</w:t>
      </w:r>
    </w:p>
    <w:p>
      <w:pPr>
        <w:sectPr>
          <w:pgSz w:w="12240" w:h="15840"/>
          <w:pgMar w:top="1037" w:right="893" w:bottom="1123" w:left="893" w:header="360" w:footer="360" w:gutter="0"/>
          <w:cols w:space="300" w:num="1"/>
          <w:docGrid w:linePitch="360"/>
        </w:sectPr>
      </w:pPr>
    </w:p>
    <w:p>
      <w:pPr>
        <w:keepNext/>
        <w:keepLines w:val="0"/>
        <w:widowControl/>
        <w:spacing w:before="66" w:after="24" w:lineRule="exact" w:line="226"/>
        <w:jc w:val="center"/>
      </w:pPr>
      <w:r>
        <w:rPr>
          <w:rFonts w:ascii="Times New Roman" w:hAnsi="Times New Roman" w:eastAsia="Times New Roman"/>
          <w:b w:val="0"/>
          <w:i w:val="0"/>
          <w:caps w:val="0"/>
          <w:sz w:val="19"/>
        </w:rPr>
        <w:t>I. INTRODUCTION</w:t>
      </w:r>
    </w:p>
    <w:p>
      <w:pPr>
        <w:keepNext w:val="0"/>
        <w:keepLines w:val="0"/>
        <w:widowControl/>
        <w:spacing w:before="0" w:after="0" w:lineRule="exact" w:line="235"/>
        <w:ind w:firstLine="202"/>
        <w:jc w:val="both"/>
      </w:pPr>
      <w:r>
        <w:rPr>
          <w:rFonts w:ascii="Times New Roman" w:hAnsi="Times New Roman" w:eastAsia="Times New Roman"/>
          <w:b w:val="0"/>
          <w:i w:val="0"/>
          <w:caps w:val="0"/>
          <w:sz w:val="20"/>
        </w:rPr>
        <w:t>Neural machine translation has improved rapidly for widely represented languages, but regional and minority languages remain constrained by sparse parallel data, limited standardization, and uneven digital presence. Venetian is a useful case study: it has a strong cultural identity and active written use, yet spelling conventions and local variants are not fully uniform. These properties complicate corpus construction and automatic evaluation because a valid translation may differ substantially from a single reference at both the lexical and orthographic levels.</w:t>
      </w:r>
    </w:p>
    <w:p>
      <w:pPr>
        <w:keepNext w:val="0"/>
        <w:keepLines w:val="0"/>
        <w:widowControl/>
        <w:spacing w:before="0" w:after="0" w:lineRule="exact" w:line="235"/>
        <w:ind w:firstLine="202"/>
        <w:jc w:val="both"/>
      </w:pPr>
      <w:r>
        <w:rPr>
          <w:rFonts w:ascii="Times New Roman" w:hAnsi="Times New Roman"/>
          <w:b w:val="0"/>
          <w:i w:val="0"/>
          <w:sz w:val="20"/>
        </w:rPr>
        <w:t>NLLB-200 was developed to extend multilingual translation to approximately 200 languages, with particular attention to low-resource settings [1]. Related work on Genoese has shown both the promise and limitations of NLLB-200 for Italian regional languages, especially where local vocabulary and non-standardized writing are involved [5]. We study whether an expanded English-to-Venetian corpus can improve the distilled 600M-parameter NLLB model over its zero-shot behavior. The contribution is an end-to-end reproducible pipeline covering data preparation, normalization, supervised adaptation, comparison with both NLLB and general-purpose zero-shot baselines, automatic and human evaluation, and sentence-level inspection.</w:t>
      </w:r>
    </w:p>
    <w:p>
      <w:pPr>
        <w:keepNext/>
        <w:keepLines w:val="0"/>
        <w:widowControl/>
        <w:spacing w:before="66" w:after="24" w:lineRule="exact" w:line="226"/>
        <w:jc w:val="center"/>
      </w:pPr>
      <w:r>
        <w:rPr>
          <w:rFonts w:ascii="Times New Roman" w:hAnsi="Times New Roman" w:eastAsia="Times New Roman"/>
          <w:b w:val="0"/>
          <w:i w:val="0"/>
          <w:caps w:val="0"/>
          <w:sz w:val="19"/>
        </w:rPr>
        <w:t>II. RELATED WORK</w:t>
      </w:r>
    </w:p>
    <w:p>
      <w:pPr>
        <w:keepNext w:val="0"/>
        <w:keepLines w:val="0"/>
        <w:widowControl/>
        <w:spacing w:before="0" w:after="0" w:lineRule="exact" w:line="235"/>
        <w:ind w:firstLine="202"/>
        <w:jc w:val="both"/>
      </w:pPr>
      <w:r>
        <w:rPr>
          <w:rFonts w:ascii="Times New Roman" w:hAnsi="Times New Roman" w:eastAsia="Times New Roman"/>
          <w:b w:val="0"/>
          <w:i w:val="0"/>
          <w:caps w:val="0"/>
          <w:sz w:val="20"/>
        </w:rPr>
        <w:t>Massively multilingual models use shared representations to transfer knowledge from data-rich to data-poor translation directions. NLLB-200 combines multilingual modeling, large-scale data mining, and evaluation across a broad set of languages [1]. This coverage makes it an attractive starting point for Venetian, where training a competitive model from scratch is unrealistic. However, model coverage does not guarantee uniform quality: language-specific lexical knowledge, script conventions, and the amount and cleanliness of training data remain decisive.</w:t>
      </w:r>
    </w:p>
    <w:p>
      <w:pPr>
        <w:keepNext w:val="0"/>
        <w:keepLines w:val="0"/>
        <w:widowControl/>
        <w:spacing w:before="0" w:after="0" w:lineRule="exact" w:line="235"/>
        <w:ind w:firstLine="202"/>
        <w:jc w:val="both"/>
      </w:pPr>
      <w:r>
        <w:rPr>
          <w:rFonts w:ascii="Times New Roman" w:hAnsi="Times New Roman"/>
          <w:b w:val="0"/>
          <w:i w:val="0"/>
          <w:sz w:val="20"/>
          <w:caps w:val="0"/>
        </w:rPr>
        <w:t>Research on Genoese provides a particularly relevant comparison. Buscaldi and Rosso [5] evaluated NLLB-200 on a manually constructed corpus and reported weaknesses involving local knowledge and spelling variation. Venetian presents similar challenges, including multiple written conventions and a continuum of local forms. Our experiment tests supervised adaptation against the unchanged NLLB checkpoint, adds a general-purpose LLM zero-shot reference, and separates curated training material from a FLORES-derived evaluation domain. This design asks whether target-language adaptation transfers to unseen broad-domain sentences rather than merely reproducing familiar patterns.</w:t>
      </w:r>
    </w:p>
    <w:p>
      <w:pPr>
        <w:keepNext/>
        <w:keepLines w:val="0"/>
        <w:widowControl/>
        <w:spacing w:before="66" w:after="24" w:lineRule="exact" w:line="226"/>
        <w:jc w:val="center"/>
      </w:pPr>
      <w:r>
        <w:rPr>
          <w:rFonts w:ascii="Times New Roman" w:hAnsi="Times New Roman" w:eastAsia="Times New Roman"/>
          <w:b w:val="0"/>
          <w:i w:val="0"/>
          <w:caps w:val="0"/>
          <w:sz w:val="19"/>
        </w:rPr>
        <w:t>III. DATA AND METHOD</w:t>
      </w:r>
    </w:p>
    <w:p>
      <w:pPr>
        <w:keepNext/>
        <w:keepLines w:val="0"/>
        <w:widowControl/>
        <w:spacing w:before="46" w:after="14" w:lineRule="exact" w:line="224"/>
        <w:jc w:val="left"/>
      </w:pPr>
      <w:r>
        <w:rPr>
          <w:rFonts w:ascii="Times New Roman" w:hAnsi="Times New Roman" w:eastAsia="Times New Roman"/>
          <w:b w:val="0"/>
          <w:i/>
          <w:caps w:val="0"/>
          <w:sz w:val="19"/>
        </w:rPr>
        <w:t>A. Corpus Construction and Normalization</w:t>
      </w:r>
    </w:p>
    <w:p>
      <w:pPr>
        <w:keepNext w:val="0"/>
        <w:keepLines w:val="0"/>
        <w:widowControl/>
        <w:spacing w:before="0" w:after="0" w:lineRule="exact" w:line="235"/>
        <w:ind w:firstLine="202"/>
        <w:jc w:val="both"/>
      </w:pPr>
      <w:r>
        <w:rPr>
          <w:rFonts w:ascii="Times New Roman" w:hAnsi="Times New Roman"/>
          <w:b w:val="0"/>
          <w:i w:val="0"/>
          <w:sz w:val="20"/>
          <w:caps w:val="0"/>
        </w:rPr>
        <w:t>The expanded training material consists of 653 English-Venetian sentence pairs assembled from curated manual records and standardized Wikipedia-derived candidates. The development and test partitions each contain 82 pairs sampled from a FLORES-derived pool. FLORES was designed as a broad-domain multilingual benchmark with professionally aligned sentences and is commonly used for low-resource machine translation evaluation [2]. Keeping the curated material in training and the FLORES-derived material in evaluation provides a demanding test of cross-domain generalization.</w:t>
      </w:r>
    </w:p>
    <w:p>
      <w:pPr>
        <w:keepNext w:val="0"/>
        <w:keepLines w:val="0"/>
        <w:widowControl/>
        <w:spacing w:before="0" w:after="0" w:lineRule="exact" w:line="235"/>
        <w:ind w:firstLine="202"/>
        <w:jc w:val="both"/>
      </w:pPr>
      <w:r>
        <w:rPr>
          <w:rFonts w:ascii="Times New Roman" w:hAnsi="Times New Roman"/>
          <w:b w:val="0"/>
          <w:i w:val="0"/>
          <w:sz w:val="20"/>
          <w:caps w:val="0"/>
        </w:rPr>
        <w:t>A conservative normalization profile was applied before training and evaluation. It performs Unicode and apostrophe cleanup, regularizes a limited set of orthographic forms such as “ł” to “l” and “xè” to “xe,” standardizes translation prompts, and applies only a small number of explicit lexical mappings. The objective is not to impose a single comprehensive Venetian standard, but to reduce accidental variation while preserving dialectal content. The final split sizes were 653/82/82 for train, development, and test, for 817 sentence pairs overall.</w:t>
      </w:r>
    </w:p>
    <w:p>
      <w:pPr>
        <w:keepNext w:val="0"/>
        <w:keepLines w:val="0"/>
        <w:widowControl/>
        <w:spacing w:before="0" w:after="0" w:lineRule="exact" w:line="235"/>
        <w:ind w:firstLine="202"/>
        <w:jc w:val="both"/>
      </w:pPr>
      <w:r>
        <w:rPr>
          <w:rFonts w:ascii="Times New Roman" w:hAnsi="Times New Roman"/>
          <w:b w:val="0"/>
          <w:i w:val="0"/>
          <w:sz w:val="20"/>
          <w:caps w:val="0"/>
        </w:rPr>
        <w:t>The pipeline preserves sentence identifiers and provenance information throughout preprocessing so that model outputs can be traced to their source records. Development data are used for checkpoint selection, while the test set is reserved for the final comparison. This separation is important in a corpus of this size, where repeated inspection can influence modeling choices and lead to optimistic conclusions.</w:t>
      </w:r>
    </w:p>
    <w:p>
      <w:pPr>
        <w:keepNext/>
        <w:keepLines w:val="0"/>
        <w:widowControl/>
        <w:spacing w:before="46" w:after="14" w:lineRule="exact" w:line="224"/>
        <w:jc w:val="left"/>
      </w:pPr>
      <w:r>
        <w:rPr>
          <w:rFonts w:ascii="Times New Roman" w:hAnsi="Times New Roman" w:eastAsia="Times New Roman"/>
          <w:b w:val="0"/>
          <w:i/>
          <w:caps w:val="0"/>
          <w:sz w:val="19"/>
        </w:rPr>
        <w:t>B. Systems and Evaluation</w:t>
      </w:r>
    </w:p>
    <w:p>
      <w:pPr>
        <w:keepNext w:val="0"/>
        <w:keepLines w:val="0"/>
        <w:widowControl/>
        <w:spacing w:before="0" w:after="0" w:lineRule="exact" w:line="235"/>
        <w:ind w:firstLine="202"/>
        <w:jc w:val="both"/>
      </w:pPr>
      <w:r>
        <w:rPr>
          <w:rFonts w:ascii="Times New Roman" w:hAnsi="Times New Roman"/>
          <w:b w:val="0"/>
          <w:i w:val="0"/>
          <w:sz w:val="20"/>
          <w:caps w:val="0"/>
        </w:rPr>
        <w:t>The primary baseline is facebook/nllb-200-distilled-600M used directly for English-to-Venetian generation. The adapted system starts from the same checkpoint and is fine-tuned on the training split, with development-set chrF used to select the best checkpoint. A general-purpose LLM is included as an additional zero-shot reference. All three systems are evaluated on the same 82 held-out test sentences, so differences reflect system behavior rather than changes in the evaluation sample.</w:t>
      </w:r>
    </w:p>
    <w:p>
      <w:pPr>
        <w:keepNext w:val="0"/>
        <w:keepLines w:val="0"/>
        <w:widowControl/>
        <w:spacing w:before="0" w:after="0" w:lineRule="exact" w:line="235"/>
        <w:ind w:firstLine="202"/>
        <w:jc w:val="both"/>
      </w:pPr>
      <w:r>
        <w:rPr>
          <w:rFonts w:ascii="Times New Roman" w:hAnsi="Times New Roman"/>
          <w:b w:val="0"/>
          <w:i w:val="0"/>
          <w:sz w:val="20"/>
        </w:rPr>
        <w:t>We report corpus-level BLEU, based on modified word n-gram precision and a brevity penalty [3], and chrF, an F-score over character n-grams [4]. chrF is particularly informative because character overlap is less brittle than word matching in the presence of inflectional and orthographic variation. Each of the 82 outputs from the three principal systems also has a saved manual rating on a 1–5 scale. Mean human ratings complement reference-overlap metrics, while sentence-level chrF differences identify local gains and regressions.</w:t>
      </w:r>
    </w:p>
    <w:p>
      <w:pPr>
        <w:keepNext/>
        <w:keepLines w:val="0"/>
        <w:widowControl/>
        <w:spacing w:before="50" w:after="10" w:lineRule="exact" w:line="180"/>
        <w:jc w:val="center"/>
      </w:pPr>
      <w:r>
        <w:rPr>
          <w:rFonts w:ascii="Times New Roman" w:hAnsi="Times New Roman" w:eastAsia="Times New Roman"/>
          <w:b w:val="0"/>
          <w:i w:val="0"/>
          <w:caps w:val="0"/>
          <w:sz w:val="16"/>
        </w:rPr>
        <w:t>TABLE I</w:t>
      </w:r>
    </w:p>
    <w:p>
      <w:pPr>
        <w:keepNext/>
        <w:keepLines w:val="0"/>
        <w:widowControl/>
        <w:spacing w:before="0" w:after="30" w:lineRule="exact" w:line="180"/>
        <w:jc w:val="center"/>
      </w:pPr>
      <w:r>
        <w:rPr>
          <w:rFonts w:ascii="Times New Roman" w:hAnsi="Times New Roman"/>
          <w:b w:val="0"/>
          <w:i w:val="0"/>
          <w:sz w:val="16"/>
        </w:rPr>
        <w:t>TEST-SET AUTOMATIC AND HUMAN RESULTS (82 SENTENCES)</w:t>
      </w:r>
    </w:p>
    <w:tbl>
      <w:tblPr>
        <w:tblW w:type="dxa" w:w="4406"/>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29"/>
        <w:gridCol w:w="720"/>
        <w:gridCol w:w="720"/>
        <w:gridCol w:w="1123"/>
      </w:tblGrid>
      <w:tr>
        <w:trPr>
          <w:cantSplit/>
          <w:tblHeader w:val="true"/>
        </w:trPr>
        <w:tc>
          <w:tcPr>
            <w:tcW w:type="dxa" w:w="1829"/>
            <w:vAlign w:val="center"/>
            <w:tcMar>
              <w:top w:w="40" w:type="dxa"/>
              <w:start w:w="50" w:type="dxa"/>
              <w:bottom w:w="40" w:type="dxa"/>
              <w:end w:w="50" w:type="dxa"/>
            </w:tcMar>
            <w:shd w:fill="D9D9D9"/>
          </w:tcPr>
          <w:p>
            <w:pPr>
              <w:spacing w:before="0" w:after="0"/>
              <w:jc w:val="left"/>
            </w:pPr>
            <w:r>
              <w:rPr>
                <w:rFonts w:ascii="Times New Roman" w:hAnsi="Times New Roman"/>
                <w:b/>
                <w:sz w:val="15"/>
              </w:rPr>
              <w:t>System</w:t>
            </w:r>
          </w:p>
        </w:tc>
        <w:tc>
          <w:tcPr>
            <w:tcW w:type="dxa" w:w="720"/>
            <w:vAlign w:val="center"/>
            <w:tcMar>
              <w:top w:w="40" w:type="dxa"/>
              <w:start w:w="50" w:type="dxa"/>
              <w:bottom w:w="40" w:type="dxa"/>
              <w:end w:w="50" w:type="dxa"/>
            </w:tcMar>
            <w:shd w:fill="D9D9D9"/>
          </w:tcPr>
          <w:p>
            <w:pPr>
              <w:spacing w:before="0" w:after="0"/>
              <w:jc w:val="center"/>
            </w:pPr>
            <w:r>
              <w:rPr>
                <w:rFonts w:ascii="Times New Roman" w:hAnsi="Times New Roman"/>
                <w:b/>
                <w:sz w:val="15"/>
              </w:rPr>
              <w:t>BLEU</w:t>
            </w:r>
          </w:p>
        </w:tc>
        <w:tc>
          <w:tcPr>
            <w:tcW w:type="dxa" w:w="720"/>
            <w:vAlign w:val="center"/>
            <w:tcMar>
              <w:top w:w="40" w:type="dxa"/>
              <w:start w:w="50" w:type="dxa"/>
              <w:bottom w:w="40" w:type="dxa"/>
              <w:end w:w="50" w:type="dxa"/>
            </w:tcMar>
            <w:shd w:fill="D9D9D9"/>
          </w:tcPr>
          <w:p>
            <w:pPr>
              <w:spacing w:before="0" w:after="0"/>
              <w:jc w:val="center"/>
            </w:pPr>
            <w:r>
              <w:rPr>
                <w:rFonts w:ascii="Times New Roman" w:hAnsi="Times New Roman"/>
                <w:b/>
                <w:sz w:val="15"/>
              </w:rPr>
              <w:t>chrF</w:t>
            </w:r>
          </w:p>
        </w:tc>
        <w:tc>
          <w:tcPr>
            <w:tcW w:type="dxa" w:w="1123"/>
            <w:shd w:fill="D9D9D9"/>
            <w:vAlign w:val="center"/>
          </w:tcPr>
          <w:p>
            <w:pPr>
              <w:spacing w:before="0" w:after="0"/>
              <w:jc w:val="center"/>
            </w:pPr>
            <w:r>
              <w:rPr>
                <w:rFonts w:ascii="Times New Roman" w:hAnsi="Times New Roman"/>
                <w:b/>
                <w:sz w:val="15"/>
              </w:rPr>
              <w:t>Human</w:t>
              <w:br/>
              <w:t>(1–5)</w:t>
            </w:r>
          </w:p>
        </w:tc>
      </w:tr>
      <w:tr>
        <w:trPr>
          <w:cantSplit/>
        </w:trPr>
        <w:tc>
          <w:tcPr>
            <w:tcW w:type="dxa" w:w="1829"/>
            <w:vAlign w:val="center"/>
            <w:tcMar>
              <w:top w:w="40" w:type="dxa"/>
              <w:start w:w="50" w:type="dxa"/>
              <w:bottom w:w="40" w:type="dxa"/>
              <w:end w:w="50" w:type="dxa"/>
            </w:tcMar>
          </w:tcPr>
          <w:p>
            <w:pPr>
              <w:spacing w:before="0" w:after="0"/>
              <w:jc w:val="left"/>
            </w:pPr>
            <w:r>
              <w:rPr>
                <w:rFonts w:ascii="Times New Roman" w:hAnsi="Times New Roman"/>
                <w:b w:val="0"/>
                <w:sz w:val="15"/>
              </w:rPr>
              <w:t>NLLB zero-shot</w:t>
            </w:r>
          </w:p>
        </w:tc>
        <w:tc>
          <w:tcPr>
            <w:tcW w:type="dxa" w:w="720"/>
            <w:vAlign w:val="center"/>
            <w:tcMar>
              <w:top w:w="40" w:type="dxa"/>
              <w:start w:w="50" w:type="dxa"/>
              <w:bottom w:w="40" w:type="dxa"/>
              <w:end w:w="50" w:type="dxa"/>
            </w:tcMar>
          </w:tcPr>
          <w:p>
            <w:pPr>
              <w:spacing w:before="0" w:after="0"/>
              <w:jc w:val="center"/>
            </w:pPr>
            <w:r>
              <w:rPr>
                <w:rFonts w:ascii="Times New Roman" w:hAnsi="Times New Roman"/>
                <w:b w:val="0"/>
                <w:sz w:val="15"/>
              </w:rPr>
              <w:t>15.89</w:t>
            </w:r>
          </w:p>
        </w:tc>
        <w:tc>
          <w:tcPr>
            <w:tcW w:type="dxa" w:w="720"/>
            <w:vAlign w:val="center"/>
            <w:tcMar>
              <w:top w:w="40" w:type="dxa"/>
              <w:start w:w="50" w:type="dxa"/>
              <w:bottom w:w="40" w:type="dxa"/>
              <w:end w:w="50" w:type="dxa"/>
            </w:tcMar>
          </w:tcPr>
          <w:p>
            <w:pPr>
              <w:spacing w:before="0" w:after="0"/>
              <w:jc w:val="center"/>
            </w:pPr>
            <w:r>
              <w:rPr>
                <w:rFonts w:ascii="Times New Roman" w:hAnsi="Times New Roman"/>
                <w:b w:val="0"/>
                <w:sz w:val="15"/>
              </w:rPr>
              <w:t>49.97</w:t>
            </w:r>
          </w:p>
        </w:tc>
        <w:tc>
          <w:tcPr>
            <w:tcW w:type="dxa" w:w="1123"/>
            <w:vAlign w:val="center"/>
          </w:tcPr>
          <w:p>
            <w:pPr>
              <w:spacing w:before="0" w:after="0"/>
              <w:jc w:val="center"/>
            </w:pPr>
            <w:r>
              <w:rPr>
                <w:rFonts w:ascii="Times New Roman" w:hAnsi="Times New Roman"/>
                <w:b w:val="0"/>
                <w:sz w:val="15"/>
              </w:rPr>
              <w:t>3.43</w:t>
            </w:r>
          </w:p>
        </w:tc>
      </w:tr>
      <w:tr>
        <w:trPr>
          <w:cantSplit/>
        </w:trPr>
        <w:tc>
          <w:tcPr>
            <w:tcW w:type="dxa" w:w="1829"/>
            <w:vAlign w:val="center"/>
            <w:tcMar>
              <w:top w:w="40" w:type="dxa"/>
              <w:start w:w="50" w:type="dxa"/>
              <w:bottom w:w="40" w:type="dxa"/>
              <w:end w:w="50" w:type="dxa"/>
            </w:tcMar>
          </w:tcPr>
          <w:p>
            <w:pPr>
              <w:spacing w:before="0" w:after="0"/>
              <w:jc w:val="left"/>
            </w:pPr>
            <w:r>
              <w:rPr>
                <w:rFonts w:ascii="Times New Roman" w:hAnsi="Times New Roman"/>
                <w:b w:val="0"/>
                <w:sz w:val="15"/>
              </w:rPr>
              <w:t>LLM zero-shot</w:t>
            </w:r>
          </w:p>
        </w:tc>
        <w:tc>
          <w:tcPr>
            <w:tcW w:type="dxa" w:w="720"/>
            <w:vAlign w:val="center"/>
            <w:tcMar>
              <w:top w:w="40" w:type="dxa"/>
              <w:start w:w="50" w:type="dxa"/>
              <w:bottom w:w="40" w:type="dxa"/>
              <w:end w:w="50" w:type="dxa"/>
            </w:tcMar>
          </w:tcPr>
          <w:p>
            <w:pPr>
              <w:spacing w:before="0" w:after="0"/>
              <w:jc w:val="center"/>
            </w:pPr>
            <w:r>
              <w:rPr>
                <w:rFonts w:ascii="Times New Roman" w:hAnsi="Times New Roman"/>
                <w:b w:val="0"/>
                <w:sz w:val="15"/>
              </w:rPr>
              <w:t>16.43</w:t>
            </w:r>
          </w:p>
        </w:tc>
        <w:tc>
          <w:tcPr>
            <w:tcW w:type="dxa" w:w="720"/>
            <w:vAlign w:val="center"/>
            <w:tcMar>
              <w:top w:w="40" w:type="dxa"/>
              <w:start w:w="50" w:type="dxa"/>
              <w:bottom w:w="40" w:type="dxa"/>
              <w:end w:w="50" w:type="dxa"/>
            </w:tcMar>
          </w:tcPr>
          <w:p>
            <w:pPr>
              <w:spacing w:before="0" w:after="0"/>
              <w:jc w:val="center"/>
            </w:pPr>
            <w:r>
              <w:rPr>
                <w:rFonts w:ascii="Times New Roman" w:hAnsi="Times New Roman"/>
                <w:b w:val="0"/>
                <w:sz w:val="15"/>
              </w:rPr>
              <w:t>49.74</w:t>
            </w:r>
          </w:p>
        </w:tc>
        <w:tc>
          <w:tcPr>
            <w:tcW w:type="dxa" w:w="1123"/>
            <w:vAlign w:val="center"/>
          </w:tcPr>
          <w:p>
            <w:pPr>
              <w:spacing w:before="0" w:after="0"/>
              <w:jc w:val="center"/>
            </w:pPr>
            <w:r>
              <w:rPr>
                <w:rFonts w:ascii="Times New Roman" w:hAnsi="Times New Roman"/>
                <w:b w:val="0"/>
                <w:sz w:val="15"/>
              </w:rPr>
              <w:t>3.61</w:t>
            </w:r>
          </w:p>
        </w:tc>
      </w:tr>
      <w:tr>
        <w:tc>
          <w:tcPr>
            <w:tcW w:type="dxa" w:w="1829"/>
            <w:vAlign w:val="center"/>
            <w:tcMar>
              <w:top w:w="40" w:type="dxa"/>
              <w:start w:w="50" w:type="dxa"/>
              <w:bottom w:w="40" w:type="dxa"/>
              <w:end w:w="50" w:type="dxa"/>
            </w:tcMar>
          </w:tcPr>
          <w:p>
            <w:pPr>
              <w:spacing w:before="0" w:after="0"/>
              <w:jc w:val="left"/>
            </w:pPr>
            <w:r>
              <w:rPr>
                <w:rFonts w:ascii="Times New Roman" w:hAnsi="Times New Roman"/>
                <w:b w:val="0"/>
                <w:sz w:val="15"/>
              </w:rPr>
              <w:t>Fine-tuned NLLB</w:t>
            </w:r>
          </w:p>
        </w:tc>
        <w:tc>
          <w:tcPr>
            <w:tcW w:type="dxa" w:w="720"/>
            <w:vAlign w:val="center"/>
            <w:tcMar>
              <w:top w:w="40" w:type="dxa"/>
              <w:start w:w="50" w:type="dxa"/>
              <w:bottom w:w="40" w:type="dxa"/>
              <w:end w:w="50" w:type="dxa"/>
            </w:tcMar>
          </w:tcPr>
          <w:p>
            <w:pPr>
              <w:spacing w:before="0" w:after="0"/>
              <w:jc w:val="center"/>
            </w:pPr>
            <w:r>
              <w:rPr>
                <w:rFonts w:ascii="Times New Roman" w:hAnsi="Times New Roman"/>
                <w:b w:val="0"/>
                <w:sz w:val="15"/>
              </w:rPr>
              <w:t>16.07</w:t>
            </w:r>
          </w:p>
        </w:tc>
        <w:tc>
          <w:tcPr>
            <w:tcW w:type="dxa" w:w="720"/>
            <w:vAlign w:val="center"/>
            <w:tcMar>
              <w:top w:w="40" w:type="dxa"/>
              <w:start w:w="50" w:type="dxa"/>
              <w:bottom w:w="40" w:type="dxa"/>
              <w:end w:w="50" w:type="dxa"/>
            </w:tcMar>
          </w:tcPr>
          <w:p>
            <w:pPr>
              <w:spacing w:before="0" w:after="0"/>
              <w:jc w:val="center"/>
            </w:pPr>
            <w:r>
              <w:rPr>
                <w:rFonts w:ascii="Times New Roman" w:hAnsi="Times New Roman"/>
                <w:b w:val="0"/>
                <w:sz w:val="15"/>
              </w:rPr>
              <w:t>51.50</w:t>
            </w:r>
          </w:p>
        </w:tc>
        <w:tc>
          <w:tcPr>
            <w:tcW w:type="dxa" w:w="1123"/>
            <w:vAlign w:val="center"/>
          </w:tcPr>
          <w:p>
            <w:pPr>
              <w:spacing w:before="0" w:after="0"/>
              <w:jc w:val="center"/>
            </w:pPr>
            <w:r>
              <w:rPr>
                <w:rFonts w:ascii="Times New Roman" w:hAnsi="Times New Roman"/>
                <w:b w:val="0"/>
                <w:sz w:val="15"/>
              </w:rPr>
              <w:t>3.57</w:t>
            </w:r>
          </w:p>
        </w:tc>
      </w:tr>
    </w:tbl>
    <w:p>
      <w:pPr>
        <w:keepNext/>
        <w:keepLines w:val="0"/>
        <w:widowControl/>
        <w:spacing w:before="66" w:after="24" w:lineRule="exact" w:line="226"/>
        <w:jc w:val="center"/>
      </w:pPr>
      <w:r>
        <w:rPr>
          <w:rFonts w:ascii="Times New Roman" w:hAnsi="Times New Roman" w:eastAsia="Times New Roman"/>
          <w:b w:val="0"/>
          <w:i w:val="0"/>
          <w:caps w:val="0"/>
          <w:sz w:val="19"/>
        </w:rPr>
        <w:t>IV. RESULTS</w:t>
      </w:r>
    </w:p>
    <w:p>
      <w:pPr>
        <w:keepNext w:val="0"/>
        <w:keepLines w:val="0"/>
        <w:widowControl/>
        <w:spacing w:before="0" w:after="0" w:lineRule="exact" w:line="235"/>
        <w:ind w:firstLine="202"/>
        <w:jc w:val="both"/>
      </w:pPr>
      <w:r>
        <w:rPr>
          <w:rFonts w:ascii="Times New Roman" w:hAnsi="Times New Roman"/>
          <w:b w:val="0"/>
          <w:i w:val="0"/>
          <w:sz w:val="20"/>
        </w:rPr>
        <w:t>Table I shows that supervised adaptation improves the original NLLB zero-shot baseline on all reported measures. BLEU increases from 15.89 to 16.07 (+0.18), chrF rises from 49.97 to 51.50 (+1.53), and the mean human rating increases from 3.43 to 3.57 (+0.14). The general-purpose LLM obtains the highest BLEU score, 16.43, and the highest mean human rating, 3.61, but its chrF score is 49.74. The different rankings show that automatic overlap metrics and human judgments capture complementary aspects of translation quality.</w:t>
      </w:r>
    </w:p>
    <w:p>
      <w:pPr>
        <w:keepNext w:val="0"/>
        <w:keepLines w:val="0"/>
        <w:widowControl/>
        <w:spacing w:before="0" w:after="0" w:lineRule="exact" w:line="235"/>
        <w:ind w:firstLine="202"/>
        <w:jc w:val="both"/>
      </w:pPr>
      <w:r>
        <w:rPr>
          <w:rFonts w:ascii="Times New Roman" w:hAnsi="Times New Roman"/>
          <w:b w:val="0"/>
          <w:i w:val="0"/>
          <w:sz w:val="20"/>
        </w:rPr>
        <w:t>Sentence-level chrF inspection supports this interpretation: the fine-tuned system improves 44 of 82 test sentences, regresses on 37, and ties on one. In a selected example concerning a route around the Transantarctic Mountains, the adapted output uses target-oriented forms such as “Sti,” “i xe,” “na longa,” and “par rivare,” moving closer to the Venetian reference than the unchanged checkpoint. Other examples still exhibit lexical substitutions, omissions, or unstable spelling, so the aggregate gain should not be interpreted as uniform improvement on every sentence.</w:t>
      </w:r>
    </w:p>
    <w:p>
      <w:pPr>
        <w:keepNext w:val="0"/>
        <w:keepLines w:val="0"/>
        <w:widowControl/>
        <w:spacing w:before="0" w:after="0" w:lineRule="exact" w:line="235"/>
        <w:ind w:firstLine="202"/>
        <w:jc w:val="both"/>
      </w:pPr>
      <w:r>
        <w:rPr>
          <w:rFonts w:ascii="Times New Roman" w:hAnsi="Times New Roman"/>
          <w:b w:val="0"/>
          <w:i w:val="0"/>
          <w:sz w:val="20"/>
        </w:rPr>
        <w:t>The relatively larger chrF gain suggests that adaptation chiefly improves character-level, morphological, and orthographic correspondence with the references. The smaller BLEU gain indicates that exact word sequences and longer phrase structure remain difficult. The fine-tuned model’s human rating is close to the LLM result and above the NLLB baseline, supporting the usefulness of target-language adaptation. The LLM’s highest human rating despite lower chrF also illustrates how fluent or acceptable alternatives can diverge from a single reference.</w:t>
      </w:r>
    </w:p>
    <w:p>
      <w:pPr>
        <w:keepNext/>
        <w:keepLines w:val="0"/>
        <w:widowControl/>
        <w:spacing w:before="66" w:after="24" w:lineRule="exact" w:line="226"/>
        <w:jc w:val="center"/>
      </w:pPr>
      <w:r>
        <w:rPr>
          <w:rFonts w:ascii="Times New Roman" w:hAnsi="Times New Roman" w:eastAsia="Times New Roman"/>
          <w:b w:val="0"/>
          <w:i w:val="0"/>
          <w:caps w:val="0"/>
          <w:sz w:val="19"/>
        </w:rPr>
        <w:t>V. DISCUSSION AND LIMITATIONS</w:t>
      </w:r>
    </w:p>
    <w:p>
      <w:pPr>
        <w:keepNext w:val="0"/>
        <w:keepLines w:val="0"/>
        <w:widowControl/>
        <w:spacing w:before="0" w:after="0" w:lineRule="exact" w:line="235"/>
        <w:ind w:firstLine="202"/>
        <w:jc w:val="both"/>
      </w:pPr>
      <w:r>
        <w:rPr>
          <w:rFonts w:ascii="Times New Roman" w:hAnsi="Times New Roman"/>
          <w:b w:val="0"/>
          <w:i w:val="0"/>
          <w:sz w:val="20"/>
          <w:caps w:val="0"/>
        </w:rPr>
        <w:t>Although the fine-tuned system now surpasses the NLLB baseline, the gain remains modest. First, 653 training pairs still provide limited coverage of vocabulary, syntax, and domain variation for a sequence-to-sequence model of this scale. Second, the curated training material and FLORES-derived evaluation sentences differ in style and topic, creating a domain shift. Third, Venetian orthography and dialect geography introduce legitimate variants that a single-reference evaluation can penalize. Conservative normalization reduces superficial noise, but excessive normalization would erase regional distinctions.</w:t>
      </w:r>
    </w:p>
    <w:p>
      <w:pPr>
        <w:keepNext w:val="0"/>
        <w:keepLines w:val="0"/>
        <w:widowControl/>
        <w:spacing w:before="0" w:after="0" w:lineRule="exact" w:line="235"/>
        <w:ind w:firstLine="202"/>
        <w:jc w:val="both"/>
      </w:pPr>
      <w:r>
        <w:rPr>
          <w:rFonts w:ascii="Times New Roman" w:hAnsi="Times New Roman"/>
          <w:b w:val="0"/>
          <w:i w:val="0"/>
          <w:sz w:val="20"/>
        </w:rPr>
        <w:t>These findings indicate useful but incomplete adaptation. The small test set, single-reference design, and lack of significance testing limit the strength of conclusions. BLEU and chrF measure overlap with one reference; human scores add a descriptive signal, but the released data contain one saved score per output and no inter-rater agreement statistic. The experiment also covers one model scale and one principal fine-tuning configuration.</w:t>
      </w:r>
    </w:p>
    <w:p>
      <w:pPr>
        <w:keepNext w:val="0"/>
        <w:keepLines w:val="0"/>
        <w:widowControl/>
        <w:spacing w:before="0" w:after="0" w:lineRule="exact" w:line="235"/>
        <w:ind w:firstLine="202"/>
        <w:jc w:val="both"/>
      </w:pPr>
      <w:r>
        <w:rPr>
          <w:rFonts w:ascii="Times New Roman" w:hAnsi="Times New Roman"/>
          <w:b w:val="0"/>
          <w:i w:val="0"/>
          <w:sz w:val="20"/>
        </w:rPr>
        <w:t>Future work should enlarge the corpus, record dialect and provenance metadata, compare normalized and non-normalized targets, and use multiple references and calibrated multi-rater evaluation. Controlled seeds, bootstrap significance tests, and agreement analysis would separate systematic gains from sampling, training, and annotation variance. Domain balancing, deduplication, and targeted coverage of morphology, named entities, idioms, and clitics may improve sample efficiency.</w:t>
      </w:r>
    </w:p>
    <w:p>
      <w:pPr>
        <w:keepNext/>
        <w:keepLines w:val="0"/>
        <w:widowControl/>
        <w:spacing w:before="66" w:after="24" w:lineRule="exact" w:line="226"/>
        <w:jc w:val="center"/>
      </w:pPr>
      <w:r>
        <w:rPr>
          <w:rFonts w:ascii="Times New Roman" w:hAnsi="Times New Roman" w:eastAsia="Times New Roman"/>
          <w:b w:val="0"/>
          <w:i w:val="0"/>
          <w:caps w:val="0"/>
          <w:sz w:val="19"/>
        </w:rPr>
        <w:t>VI. CONCLUSION</w:t>
      </w:r>
    </w:p>
    <w:p>
      <w:pPr>
        <w:keepNext w:val="0"/>
        <w:keepLines w:val="0"/>
        <w:widowControl/>
        <w:spacing w:before="0" w:after="0" w:lineRule="exact" w:line="235"/>
        <w:ind w:firstLine="202"/>
        <w:jc w:val="both"/>
      </w:pPr>
      <w:r>
        <w:rPr>
          <w:rFonts w:ascii="Times New Roman" w:hAnsi="Times New Roman"/>
          <w:b w:val="0"/>
          <w:i w:val="0"/>
          <w:sz w:val="20"/>
        </w:rPr>
        <w:t>This study presents an expanded English-to-Venetian translation pipeline based on NLLB-200. Fine-tuning on 653 pairs improves NLLB zero-shot from 15.89 to 16.07 BLEU, from 49.97 to 51.50 chrF, and from 3.43 to 3.57 in mean human rating. A general-purpose LLM leads on BLEU and human rating, while fine-tuned NLLB leads on chrF. The findings show useful adaptation under severe data scarcity and emphasize corpus design, dialect-aware normalization, complementary metrics, and careful human evaluation. The released workflow and demo support inspection of aggregate, sentence-level, human-score, and free-text behavior.</w:t>
      </w:r>
    </w:p>
    <w:p>
      <w:pPr>
        <w:keepNext/>
        <w:keepLines w:val="0"/>
        <w:widowControl/>
        <w:spacing w:before="60" w:after="20" w:lineRule="exact" w:line="190"/>
        <w:jc w:val="center"/>
      </w:pPr>
      <w:r>
        <w:rPr>
          <w:rFonts w:ascii="Times New Roman" w:hAnsi="Times New Roman" w:eastAsia="Times New Roman"/>
          <w:b w:val="0"/>
          <w:i w:val="0"/>
          <w:caps w:val="0"/>
          <w:sz w:val="19"/>
        </w:rPr>
        <w:t>REFERENCES</w:t>
      </w:r>
    </w:p>
    <w:p>
      <w:pPr>
        <w:keepNext w:val="0"/>
        <w:keepLines/>
        <w:widowControl/>
        <w:spacing w:before="0" w:after="0" w:lineRule="exact" w:line="180"/>
        <w:ind w:left="245" w:hanging="245"/>
        <w:jc w:val="left"/>
      </w:pPr>
      <w:r>
        <w:rPr>
          <w:rFonts w:ascii="Times New Roman" w:hAnsi="Times New Roman" w:eastAsia="Times New Roman"/>
          <w:b w:val="0"/>
          <w:i w:val="0"/>
          <w:caps w:val="0"/>
          <w:sz w:val="16"/>
        </w:rPr>
        <w:t>[1] NLLB Team et al., “No Language Left Behind: Scaling Human-Centered Machine Translation,” arXiv:2207.04672, 2022.</w:t>
      </w:r>
    </w:p>
    <w:p>
      <w:pPr>
        <w:keepNext w:val="0"/>
        <w:keepLines/>
        <w:widowControl/>
        <w:spacing w:before="0" w:after="0" w:lineRule="exact" w:line="180"/>
        <w:ind w:left="245" w:hanging="245"/>
        <w:jc w:val="left"/>
      </w:pPr>
      <w:r>
        <w:rPr>
          <w:rFonts w:ascii="Times New Roman" w:hAnsi="Times New Roman" w:eastAsia="Times New Roman"/>
          <w:b w:val="0"/>
          <w:i w:val="0"/>
          <w:caps w:val="0"/>
          <w:sz w:val="16"/>
        </w:rPr>
        <w:t>[2] N. Goyal et al., “The FLORES-101 Evaluation Benchmark for Low-Resource and Multilingual Machine Translation,” arXiv:2106.03193, 2021.</w:t>
      </w:r>
    </w:p>
    <w:p>
      <w:pPr>
        <w:keepNext w:val="0"/>
        <w:keepLines/>
        <w:widowControl/>
        <w:spacing w:before="0" w:after="0" w:lineRule="exact" w:line="180"/>
        <w:ind w:left="245" w:hanging="245"/>
        <w:jc w:val="left"/>
      </w:pPr>
      <w:r>
        <w:rPr>
          <w:rFonts w:ascii="Times New Roman" w:hAnsi="Times New Roman" w:eastAsia="Times New Roman"/>
          <w:b w:val="0"/>
          <w:i w:val="0"/>
          <w:caps w:val="0"/>
          <w:sz w:val="16"/>
        </w:rPr>
        <w:t>[3] K. Papineni, S. Roukos, T. Ward, and W.-J. Zhu, “BLEU: A Method for Automatic Evaluation of Machine Translation,” in Proc. ACL, pp. 311–318, 2002.</w:t>
      </w:r>
    </w:p>
    <w:p>
      <w:pPr>
        <w:keepNext w:val="0"/>
        <w:keepLines/>
        <w:widowControl/>
        <w:spacing w:before="0" w:after="0" w:lineRule="exact" w:line="180"/>
        <w:ind w:left="245" w:hanging="245"/>
        <w:jc w:val="left"/>
      </w:pPr>
      <w:r>
        <w:rPr>
          <w:rFonts w:ascii="Times New Roman" w:hAnsi="Times New Roman" w:eastAsia="Times New Roman"/>
          <w:b w:val="0"/>
          <w:i w:val="0"/>
          <w:caps w:val="0"/>
          <w:sz w:val="16"/>
        </w:rPr>
        <w:t>[4] M. Popović, “chrF: Character n-gram F-score for Automatic MT Evaluation,” in Proc. WMT, pp. 392–395, 2015.</w:t>
      </w:r>
    </w:p>
    <w:p>
      <w:pPr>
        <w:keepNext w:val="0"/>
        <w:keepLines/>
        <w:widowControl/>
        <w:spacing w:before="0" w:after="0" w:lineRule="exact" w:line="180"/>
        <w:ind w:left="245" w:hanging="245"/>
        <w:jc w:val="left"/>
      </w:pPr>
      <w:r>
        <w:rPr>
          <w:rFonts w:ascii="Times New Roman" w:hAnsi="Times New Roman" w:eastAsia="Times New Roman"/>
          <w:b w:val="0"/>
          <w:i w:val="0"/>
          <w:caps w:val="0"/>
          <w:sz w:val="16"/>
        </w:rPr>
        <w:t>[5] D. Buscaldi and P. Rosso, “How Good Is NLLB-200 for Low-Resource Languages? A Study on Genoese,” in Proc. CLiC-it, 2023.</w:t>
      </w:r>
    </w:p>
    <w:p>
      <w:pPr>
        <w:sectPr>
          <w:type w:val="continuous"/>
          <w:pgSz w:w="12240" w:h="15840"/>
          <w:pgMar w:top="1037" w:right="893" w:bottom="1123" w:left="893" w:header="360" w:footer="360" w:gutter="0"/>
          <w:cols w:space="300" w:num="2"/>
          <w:docGrid w:linePitch="360"/>
        </w:sectPr>
      </w:pPr>
    </w:p>
    <w:p>
      <w:pPr>
        <w:keepNext w:val="0"/>
        <w:keepLines w:val="0"/>
        <w:widowControl/>
        <w:spacing w:before="0" w:after="0" w:lineRule="exact" w:line="20"/>
        <w:jc w:val="left"/>
      </w:pPr>
      <w:r>
        <w:rPr>
          <w:rFonts w:ascii="Times New Roman" w:hAnsi="Times New Roman" w:eastAsia="Times New Roman"/>
          <w:b w:val="0"/>
          <w:i w:val="0"/>
          <w:caps w:val="0"/>
          <w:sz w:val="2"/>
        </w:rPr>
      </w:r>
    </w:p>
    <w:sectPr w:rsidR="00FC693F" w:rsidRPr="0006063C" w:rsidSect="00034616">
      <w:type w:val="continuous"/>
      <w:pgSz w:w="12240" w:h="15840"/>
      <w:pgMar w:top="1037" w:right="893" w:bottom="1123" w:left="893" w:header="360" w:footer="360" w:gutter="0"/>
      <w:cols w:space="30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Fine-Tuning NLLB-200 for English-to-Venetian Translation</dc:title>
  <dc:subject>Two-page extended abstract in IEEE conference style</dc:subject>
  <dc:creator>Massimo Costantini; Linda Zampieri; Elena Rozera; Leckraj Nagowah</dc:creator>
  <cp:keywords>Venetian, NLLB-200, low-resource machine translation, BLEU, chrF</cp:keywords>
  <dc:description>Updated results for the expanded English-to-Venetian experiment.</dc:description>
  <cp:lastModifiedBy/>
  <cp:revision>1</cp:revision>
  <dcterms:created xsi:type="dcterms:W3CDTF">2013-12-23T23:15:00Z</dcterms:created>
  <dcterms:modified xsi:type="dcterms:W3CDTF">2013-12-23T23:15:00Z</dcterms:modified>
  <cp:category/>
</cp:coreProperties>
</file>