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32" w:rsidRDefault="00C36A6E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xqimg.imedao.com/15de691a6e21bf53fd927d8d.png!cust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7390D" id="矩形 1" o:spid="_x0000_s1026" alt="https://xqimg.imedao.com/15de691a6e21bf53fd927d8d.png!custom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0Rhp+O8CAAD9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9F097F" wp14:editId="464E8666">
            <wp:extent cx="4153480" cy="1295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6E" w:rsidRDefault="00C36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年，我们设定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增长了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13%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，但为了解决坏账问题，当年净利全部贡献出来，像黄继光那样堵堵枪眼，所以当年的分红为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；也即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年底，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平安银行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净资产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年的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净资产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相平。</w:t>
      </w:r>
      <w:r>
        <w:rPr>
          <w:rFonts w:ascii="Helvetica" w:hAnsi="Helvetica" w:cs="Helvetica"/>
          <w:color w:val="333333"/>
          <w:sz w:val="6"/>
          <w:szCs w:val="6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平安银行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14%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，净利润＝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2021.71X14%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282.9694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亿人民币；以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的分红，则当年共分红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282.9694×12%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33.956328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亿人民币；则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年底，平银的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净资产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2021.71+282.97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33.96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2270.79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亿人民币。</w:t>
      </w:r>
      <w:r>
        <w:rPr>
          <w:rFonts w:ascii="Helvetica" w:hAnsi="Helvetica" w:cs="Helvetica"/>
          <w:color w:val="333333"/>
          <w:sz w:val="6"/>
          <w:szCs w:val="6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以此类推，则到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2021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年底，平银则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净资产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3371.25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亿元。总股本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171.7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亿。由此得</w:t>
      </w:r>
      <w:r>
        <w:rPr>
          <w:rStyle w:val="highlight"/>
          <w:rFonts w:ascii="Helvetica" w:hAnsi="Helvetica" w:cs="Helvetica"/>
          <w:b/>
          <w:bCs/>
          <w:color w:val="BC2931"/>
          <w:szCs w:val="21"/>
          <w:bdr w:val="none" w:sz="0" w:space="0" w:color="auto" w:frame="1"/>
          <w:shd w:val="clear" w:color="auto" w:fill="FFFFFF"/>
        </w:rPr>
        <w:t>每股净资产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3371.25/171.7=19.63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元。</w:t>
      </w:r>
    </w:p>
    <w:p w:rsidR="000C0155" w:rsidRDefault="000C01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C0155" w:rsidRDefault="000C0155">
      <w:pPr>
        <w:rPr>
          <w:rFonts w:hint="eastAsia"/>
        </w:rPr>
      </w:pPr>
      <w:r>
        <w:rPr>
          <w:noProof/>
        </w:rPr>
        <w:drawing>
          <wp:inline distT="0" distB="0" distL="0" distR="0" wp14:anchorId="40856104" wp14:editId="64B6CDEE">
            <wp:extent cx="5274310" cy="3790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B8"/>
    <w:rsid w:val="000C0155"/>
    <w:rsid w:val="002A7132"/>
    <w:rsid w:val="009E19FA"/>
    <w:rsid w:val="00AC1BB8"/>
    <w:rsid w:val="00C36A6E"/>
    <w:rsid w:val="00F225C7"/>
    <w:rsid w:val="00F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F9DB"/>
  <w15:chartTrackingRefBased/>
  <w15:docId w15:val="{178208CE-A969-4408-8F21-CF595B90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C3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4</cp:revision>
  <dcterms:created xsi:type="dcterms:W3CDTF">2017-09-27T06:58:00Z</dcterms:created>
  <dcterms:modified xsi:type="dcterms:W3CDTF">2017-09-27T07:04:00Z</dcterms:modified>
</cp:coreProperties>
</file>