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dtc算法评估报告</w:t>
      </w:r>
    </w:p>
    <w:p>
      <w:pPr>
        <w:pStyle w:val="Heading2"/>
      </w:pPr>
      <w:r>
        <w:t>相关性分析热力图</w:t>
      </w:r>
    </w:p>
    <w:p>
      <w:r>
        <w:drawing>
          <wp:inline xmlns:a="http://schemas.openxmlformats.org/drawingml/2006/main" xmlns:pic="http://schemas.openxmlformats.org/drawingml/2006/picture">
            <wp:extent cx="5029200" cy="4081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相关性热力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评估指标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评估指标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0.9697354655507398</w:t>
            </w:r>
          </w:p>
        </w:tc>
        <w:tc>
          <w:tcPr>
            <w:tcW w:type="dxa" w:w="1728"/>
          </w:tcPr>
          <w:p>
            <w:r>
              <w:t>0.9737009941849559</w:t>
            </w:r>
          </w:p>
        </w:tc>
        <w:tc>
          <w:tcPr>
            <w:tcW w:type="dxa" w:w="1728"/>
          </w:tcPr>
          <w:p>
            <w:r>
              <w:t>0.9717141840918025</w:t>
            </w:r>
          </w:p>
        </w:tc>
        <w:tc>
          <w:tcPr>
            <w:tcW w:type="dxa" w:w="1728"/>
          </w:tcPr>
          <w:p>
            <w:r>
              <w:t>26655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0.9738842113106326</w:t>
            </w:r>
          </w:p>
        </w:tc>
        <w:tc>
          <w:tcPr>
            <w:tcW w:type="dxa" w:w="1728"/>
          </w:tcPr>
          <w:p>
            <w:r>
              <w:t>0.9699454565693295</w:t>
            </w:r>
          </w:p>
        </w:tc>
        <w:tc>
          <w:tcPr>
            <w:tcW w:type="dxa" w:w="1728"/>
          </w:tcPr>
          <w:p>
            <w:r>
              <w:t>0.9719108434182887</w:t>
            </w:r>
          </w:p>
        </w:tc>
        <w:tc>
          <w:tcPr>
            <w:tcW w:type="dxa" w:w="1728"/>
          </w:tcPr>
          <w:p>
            <w:r>
              <w:t>26951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0.9718128567697646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0.9718098384306861</w:t>
            </w:r>
          </w:p>
        </w:tc>
        <w:tc>
          <w:tcPr>
            <w:tcW w:type="dxa" w:w="1728"/>
          </w:tcPr>
          <w:p>
            <w:r>
              <w:t>0.9718232253771427</w:t>
            </w:r>
          </w:p>
        </w:tc>
        <w:tc>
          <w:tcPr>
            <w:tcW w:type="dxa" w:w="1728"/>
          </w:tcPr>
          <w:p>
            <w:r>
              <w:t>0.9718125137550456</w:t>
            </w:r>
          </w:p>
        </w:tc>
        <w:tc>
          <w:tcPr>
            <w:tcW w:type="dxa" w:w="1728"/>
          </w:tcPr>
          <w:p>
            <w:r>
              <w:t>53606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0.9718212926405222</w:t>
            </w:r>
          </w:p>
        </w:tc>
        <w:tc>
          <w:tcPr>
            <w:tcW w:type="dxa" w:w="1728"/>
          </w:tcPr>
          <w:p>
            <w:r>
              <w:t>0.9718128567697646</w:t>
            </w:r>
          </w:p>
        </w:tc>
        <w:tc>
          <w:tcPr>
            <w:tcW w:type="dxa" w:w="1728"/>
          </w:tcPr>
          <w:p>
            <w:r>
              <w:t>0.9718130567088255</w:t>
            </w:r>
          </w:p>
        </w:tc>
        <w:tc>
          <w:tcPr>
            <w:tcW w:type="dxa" w:w="1728"/>
          </w:tcPr>
          <w:p>
            <w:r>
              <w:t>53606</w:t>
            </w:r>
          </w:p>
        </w:tc>
      </w:tr>
    </w:tbl>
    <w:p>
      <w:pPr>
        <w:pStyle w:val="Heading2"/>
      </w:pPr>
      <w:r>
        <w:t>ROC曲线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曲线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