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微软雅黑"/>
          <w:b/>
          <w:color w:val="17365D"/>
          <w:sz w:val="40"/>
        </w:rPr>
        <w:t>电芯 CT 缺陷智能检测 · 项目进展报告</w:t>
      </w:r>
    </w:p>
    <w:p>
      <w:pPr>
        <w:jc w:val="center"/>
      </w:pPr>
      <w:r>
        <w:rPr>
          <w:rFonts w:ascii="Calibri" w:hAnsi="Calibri" w:eastAsia="微软雅黑"/>
          <w:color w:val="707070"/>
          <w:sz w:val="20"/>
        </w:rPr>
        <w:t>现状反馈  |  工作亮点  |  未来规划        2026-10-13</w:t>
      </w:r>
    </w:p>
    <w:p>
      <w:pPr>
        <w:pStyle w:val="Heading1"/>
      </w:pPr>
      <w:r>
        <w:rPr>
          <w:rFonts w:ascii="Calibri" w:hAnsi="Calibri" w:eastAsia="微软雅黑"/>
          <w:b/>
          <w:color w:val="17365D"/>
          <w:sz w:val="28"/>
        </w:rPr>
        <w:t>一、现状反馈</w:t>
      </w:r>
    </w:p>
    <w:p>
      <w:r>
        <w:rPr>
          <w:rFonts w:ascii="Calibri" w:hAnsi="Calibri" w:eastAsia="微软雅黑"/>
          <w:b w:val="0"/>
          <w:sz w:val="21"/>
        </w:rPr>
        <w:t>模型侧：已完成 4 个版本迭代，mAP50 由 0.735 提升至 0.840（+14.3%）；第 5 版（V5）于本日 20:36 启动训练，融合全部新样本与负样本，预计明晨 6:30 产出结果。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592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model_progr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59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微软雅黑"/>
          <w:b w:val="0"/>
          <w:sz w:val="21"/>
        </w:rPr>
      </w:r>
    </w:p>
    <w:p>
      <w:r>
        <w:rPr>
          <w:rFonts w:ascii="Calibri" w:hAnsi="Calibri" w:eastAsia="微软雅黑"/>
          <w:b w:val="0"/>
          <w:sz w:val="21"/>
        </w:rPr>
        <w:t>当前最优模型（V4，1920 最高分辨率）分类别性能：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8550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recall_vs_targ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55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微软雅黑"/>
          <w:b w:val="0"/>
          <w:sz w:val="21"/>
        </w:rPr>
      </w:r>
    </w:p>
    <w:p>
      <w:r>
        <w:rPr>
          <w:rFonts w:ascii="Calibri" w:hAnsi="Calibri" w:eastAsia="微软雅黑"/>
          <w:b w:val="0"/>
          <w:sz w:val="21"/>
        </w:rPr>
        <w:t>数据侧：样本库累计 1,402 张、标注框 803 个，单日扩充 992 张（+242%），质检通过率 100%。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8388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data_grow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38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微软雅黑"/>
          <w:b w:val="0"/>
          <w:sz w:val="21"/>
        </w:rPr>
      </w:r>
    </w:p>
    <w:p>
      <w:pPr>
        <w:pStyle w:val="Heading1"/>
      </w:pPr>
      <w:r>
        <w:rPr>
          <w:rFonts w:ascii="Calibri" w:hAnsi="Calibri" w:eastAsia="微软雅黑"/>
          <w:b/>
          <w:color w:val="17365D"/>
          <w:sz w:val="28"/>
        </w:rPr>
        <w:t>二、工作亮点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精度四连升：</w:t>
      </w:r>
      <w:r>
        <w:rPr>
          <w:rFonts w:ascii="Calibri" w:hAnsi="Calibri" w:eastAsia="微软雅黑"/>
          <w:sz w:val="21"/>
        </w:rPr>
        <w:t>0.735 → 0.801 → 0.806 → 0.840，每一版均有明确的工程归因（分辨率提升 / 数据重标 / 样本扩充），非偶然波动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数据资产倍增：</w:t>
      </w:r>
      <w:r>
        <w:rPr>
          <w:rFonts w:ascii="Calibri" w:hAnsi="Calibri" w:eastAsia="微软雅黑"/>
          <w:sz w:val="21"/>
        </w:rPr>
        <w:t>暗斑样本单日 +127%（85→193），负样本库 13→833 张，误报压制能力的数据基础已就位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数据质量体系：</w:t>
      </w:r>
      <w:r>
        <w:rPr>
          <w:rFonts w:ascii="Calibri" w:hAnsi="Calibri" w:eastAsia="微软雅黑"/>
          <w:sz w:val="21"/>
        </w:rPr>
        <w:t>建立《标注规范》与导入质检工具链，全库经 Z 轴深度溯源核查，训练/验证集零泄漏、零格式错误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工程可靠性：</w:t>
      </w:r>
      <w:r>
        <w:rPr>
          <w:rFonts w:ascii="Calibri" w:hAnsi="Calibri" w:eastAsia="微软雅黑"/>
          <w:sz w:val="21"/>
        </w:rPr>
        <w:t>最佳模型实时保存机制经受住训练中断事件，评估与迭代零损失；上线阈值（损伤 0.40 / 暗斑 0.20 / 亮斑 0.15）已基于 F1 曲线标定</w:t>
      </w:r>
    </w:p>
    <w:p>
      <w:r>
        <w:rPr>
          <w:rFonts w:ascii="Calibri" w:hAnsi="Calibri" w:eastAsia="微软雅黑"/>
          <w:b w:val="0"/>
          <w:sz w:val="21"/>
        </w:rPr>
      </w:r>
    </w:p>
    <w:p>
      <w:pPr>
        <w:pStyle w:val="Heading1"/>
      </w:pPr>
      <w:r>
        <w:rPr>
          <w:rFonts w:ascii="Calibri" w:hAnsi="Calibri" w:eastAsia="微软雅黑"/>
          <w:b/>
          <w:color w:val="17365D"/>
          <w:sz w:val="28"/>
        </w:rPr>
        <w:t>三、未来规划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目标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关键指标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近期（本周）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V5 验收、择优部署至检测端；传统形态学算法小样验证（专攻微小亮暗点）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mAP50 ≥ 0.85；微小缺陷召回显著提升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中期（2 周）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亮斑样本持续扩充，模型 V6 迭代；产线试点运行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三类别召回均衡逼近产线要求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持续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数据闭环：产线误检/漏检样本回流再训练，月度模型版本化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模型精度月度环比正增长</w:t>
            </w:r>
          </w:p>
        </w:tc>
      </w:tr>
    </w:tbl>
    <w:p>
      <w:r>
        <w:rPr>
          <w:rFonts w:ascii="Calibri" w:hAnsi="Calibri" w:eastAsia="微软雅黑"/>
          <w:b w:val="0"/>
          <w:sz w:val="21"/>
        </w:rPr>
      </w:r>
    </w:p>
    <w:p>
      <w:pPr>
        <w:jc w:val="center"/>
      </w:pPr>
      <w:r>
        <w:rPr>
          <w:rFonts w:ascii="Calibri" w:hAnsi="Calibri" w:eastAsia="微软雅黑"/>
          <w:color w:val="707070"/>
          <w:sz w:val="18"/>
        </w:rPr>
        <w:t>数据可溯源：runs/detect/CT_pro/ 训练日志 · datasets/ 数据集 · 问题电芯图片汇总/ 样本库</w:t>
      </w:r>
    </w:p>
    <w:sectPr w:rsidR="00FC693F" w:rsidRPr="0006063C" w:rsidSect="00034616">
      <w:pgSz w:w="12240" w:h="15840"/>
      <w:pgMar w:top="907" w:right="1800" w:bottom="90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